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D8538" w14:textId="77777777" w:rsidR="00E140DA" w:rsidRPr="00D55283" w:rsidRDefault="00903EB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bookmarkStart w:id="0" w:name="_GoBack"/>
      <w:bookmarkEnd w:id="0"/>
      <w:r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030E5003" wp14:editId="572035F7">
            <wp:simplePos x="0" y="0"/>
            <wp:positionH relativeFrom="column">
              <wp:posOffset>-148345</wp:posOffset>
            </wp:positionH>
            <wp:positionV relativeFrom="paragraph">
              <wp:posOffset>-200660</wp:posOffset>
            </wp:positionV>
            <wp:extent cx="860569" cy="721360"/>
            <wp:effectExtent l="0" t="0" r="3175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83"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="00D55283" w:rsidRPr="00D55283">
        <w:rPr>
          <w:rFonts w:ascii="Times New Roman" w:hAnsi="Times New Roman"/>
          <w:b/>
          <w:sz w:val="28"/>
          <w:lang w:val="fr-CA"/>
        </w:rPr>
        <w:tab/>
        <w:t>Maternelle à 3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5F9C751B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10457CC1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862"/>
        <w:gridCol w:w="239"/>
        <w:gridCol w:w="3148"/>
        <w:gridCol w:w="243"/>
        <w:gridCol w:w="2006"/>
        <w:gridCol w:w="243"/>
        <w:gridCol w:w="1678"/>
        <w:gridCol w:w="239"/>
        <w:gridCol w:w="2604"/>
        <w:gridCol w:w="243"/>
        <w:gridCol w:w="1770"/>
      </w:tblGrid>
      <w:tr w:rsidR="00E140DA" w:rsidRPr="00D55283" w14:paraId="546252E4" w14:textId="77777777">
        <w:trPr>
          <w:jc w:val="center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CFB9D3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Style w:val="CharAttribute2"/>
                <w:rFonts w:ascii="Helvetica" w:eastAsia="Batang" w:hAnsi="Helvetica"/>
                <w:sz w:val="20"/>
                <w:lang w:val="fr-CA"/>
              </w:rPr>
              <w:t xml:space="preserve">La confiance s’acquiert par </w:t>
            </w:r>
            <w:r w:rsidRPr="00D55283">
              <w:rPr>
                <w:rStyle w:val="CharAttribute2"/>
                <w:rFonts w:ascii="Helvetica" w:eastAsia="Batang" w:hAnsi="Helvetica"/>
                <w:sz w:val="20"/>
                <w:lang w:val="fr-CA"/>
              </w:rPr>
              <w:br/>
              <w:t xml:space="preserve">le processus </w:t>
            </w:r>
            <w:r w:rsidRPr="00D55283">
              <w:rPr>
                <w:rStyle w:val="CharAttribute2"/>
                <w:rFonts w:ascii="Helvetica" w:eastAsia="Batang" w:hAnsi="Helvetica"/>
                <w:sz w:val="20"/>
                <w:lang w:val="fr-CA"/>
              </w:rPr>
              <w:br/>
              <w:t>de la découverte de soi.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8B8F5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F7C58A9" w14:textId="512A1576" w:rsidR="00E140DA" w:rsidRPr="00D55283" w:rsidRDefault="00D55283" w:rsidP="00D5528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communautés fortes sont</w:t>
            </w:r>
            <w:r w:rsidRPr="00D55283">
              <w:rPr>
                <w:rFonts w:ascii="Helvetica" w:hAnsi="Helvetica"/>
                <w:lang w:val="fr-CA"/>
              </w:rPr>
              <w:br/>
              <w:t>le fruit de liens tissés avec la famille et la communauté ainsi que d’efforts concertés pour atteindre des buts communs.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621414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A8FE16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collaboration efficace repose sur une communication claire et respectueuse.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285C06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5F1758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Tout ce que nous apprenons nous aide à acquérir des habiletés</w:t>
            </w:r>
            <w:r w:rsidRPr="00D55283">
              <w:rPr>
                <w:rFonts w:ascii="Helvetica" w:hAnsi="Helvetica" w:cs="Arial"/>
                <w:lang w:val="fr-CA" w:eastAsia="en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0F312F" w14:textId="77777777" w:rsidR="00E140DA" w:rsidRPr="00D55283" w:rsidDel="000A0F25" w:rsidRDefault="009000AA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DEA3FC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Il existe dans les communautés un grand nombre de rôles variés nécessitant un large éventail de compétences.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59EBD" w14:textId="77777777" w:rsidR="00E140DA" w:rsidRPr="00D55283" w:rsidRDefault="009000AA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E7883D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L’apprentissage est un processus qui se poursuit tout au long </w:t>
            </w:r>
            <w:r w:rsidRPr="00D55283">
              <w:rPr>
                <w:rFonts w:ascii="Helvetica" w:hAnsi="Helvetica"/>
                <w:lang w:val="fr-CA"/>
              </w:rPr>
              <w:br/>
              <w:t>de la vie.</w:t>
            </w:r>
          </w:p>
        </w:tc>
      </w:tr>
    </w:tbl>
    <w:p w14:paraId="5B12E0A6" w14:textId="77777777" w:rsidR="00E140DA" w:rsidRPr="00D55283" w:rsidRDefault="009000AA" w:rsidP="00903EB3">
      <w:pPr>
        <w:rPr>
          <w:szCs w:val="22"/>
          <w:lang w:val="fr-CA"/>
        </w:rPr>
      </w:pPr>
    </w:p>
    <w:p w14:paraId="7E4128C0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8"/>
        <w:gridCol w:w="4748"/>
      </w:tblGrid>
      <w:tr w:rsidR="00E140DA" w:rsidRPr="00D55283" w14:paraId="75829DBB" w14:textId="77777777">
        <w:tc>
          <w:tcPr>
            <w:tcW w:w="3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C555E6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17D0DAE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E140DA" w:rsidRPr="00D55283" w14:paraId="68404105" w14:textId="77777777">
        <w:trPr>
          <w:trHeight w:val="484"/>
        </w:trPr>
        <w:tc>
          <w:tcPr>
            <w:tcW w:w="3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A00C0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622B9C4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Décrire et apprécier ses qualités et ses intérêts personnels, ses habiletés et ses réalisations</w:t>
            </w:r>
          </w:p>
          <w:p w14:paraId="3E17BB3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Prendre conscience de l’importance d’avoir des relations positives dans sa vie</w:t>
            </w:r>
          </w:p>
          <w:p w14:paraId="2F76223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Faire part de ses idées, de ses sentiments, de ses connaissances et de renseignements acquis</w:t>
            </w:r>
          </w:p>
          <w:p w14:paraId="620C88A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Travailler avec d’autres de manière respectueuse et constructive à l’atteinte d’objectifs communs</w:t>
            </w:r>
          </w:p>
          <w:p w14:paraId="15E255B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l’importance de l’apprentissage dans sa vie et dans ses activités professionnelles futures </w:t>
            </w:r>
          </w:p>
          <w:p w14:paraId="270017E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Se fixer des objectifs d’apprentissage réalistes et les atteindre</w:t>
            </w:r>
          </w:p>
          <w:p w14:paraId="49A24732" w14:textId="56863C23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Répertorier et apprécier à leur juste valeur les rôles et responsabilités de membres de la famille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ou de la communauté et du personnel de l’école </w:t>
            </w:r>
          </w:p>
          <w:p w14:paraId="7192252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Montrer qu’il possède des </w:t>
            </w:r>
            <w:r w:rsidRPr="00D55283">
              <w:rPr>
                <w:rFonts w:ascii="Helvetica" w:hAnsi="Helvetica"/>
                <w:b/>
                <w:lang w:val="fr-CA"/>
              </w:rPr>
              <w:t>habitudes de travail efficaces</w:t>
            </w:r>
            <w:r w:rsidRPr="00D55283">
              <w:rPr>
                <w:rFonts w:ascii="Helvetica" w:hAnsi="Helvetica"/>
                <w:lang w:val="fr-CA"/>
              </w:rPr>
              <w:t xml:space="preserve"> et des habiletés organisationnelles conformes à son niveau de développement </w:t>
            </w:r>
          </w:p>
          <w:p w14:paraId="0EA90B4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les compétences essentielles à divers emplois au sein de la communauté 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2C491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7EDBA85E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4BD7191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>stratégies d’établissement d’objectifs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</w:p>
          <w:p w14:paraId="15EAFD7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prise de risque</w:t>
            </w:r>
            <w:r w:rsidRPr="00D55283">
              <w:rPr>
                <w:rFonts w:ascii="Helvetica" w:hAnsi="Helvetica"/>
                <w:lang w:val="fr-CA"/>
              </w:rPr>
              <w:t xml:space="preserve"> et son rôle dans le travail d’autorévélation</w:t>
            </w:r>
          </w:p>
          <w:p w14:paraId="730BBF0F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24AD9F0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conscience culturelle et sociale</w:t>
            </w:r>
          </w:p>
          <w:p w14:paraId="33BBB8A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ses rôles et responsabilités à la maison, </w:t>
            </w:r>
            <w:r w:rsidRPr="00D55283">
              <w:rPr>
                <w:rFonts w:ascii="Helvetica" w:hAnsi="Helvetica"/>
                <w:lang w:val="fr-CA"/>
              </w:rPr>
              <w:br/>
              <w:t>à l’école et dans la communauté locale</w:t>
            </w:r>
          </w:p>
          <w:p w14:paraId="43A6921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emplois existant dans la communauté locale</w:t>
            </w:r>
          </w:p>
        </w:tc>
      </w:tr>
    </w:tbl>
    <w:p w14:paraId="040B3888" w14:textId="77777777" w:rsidR="00E140DA" w:rsidRPr="00D55283" w:rsidRDefault="009000AA" w:rsidP="00903EB3">
      <w:pPr>
        <w:rPr>
          <w:lang w:val="fr-CA"/>
        </w:rPr>
      </w:pPr>
    </w:p>
    <w:p w14:paraId="27550991" w14:textId="77777777" w:rsidR="00E140DA" w:rsidRPr="00D55283" w:rsidRDefault="00D5528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lang w:val="fr-CA"/>
        </w:rPr>
        <w:br w:type="page"/>
      </w:r>
      <w:r w:rsidR="00903EB3"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78897941" wp14:editId="4CFDB4C3">
            <wp:simplePos x="0" y="0"/>
            <wp:positionH relativeFrom="column">
              <wp:posOffset>-148590</wp:posOffset>
            </wp:positionH>
            <wp:positionV relativeFrom="paragraph">
              <wp:posOffset>-200660</wp:posOffset>
            </wp:positionV>
            <wp:extent cx="863600" cy="72136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Pr="00D55283">
        <w:rPr>
          <w:rFonts w:ascii="Times New Roman" w:hAnsi="Times New Roman"/>
          <w:b/>
          <w:sz w:val="28"/>
          <w:lang w:val="fr-CA"/>
        </w:rPr>
        <w:tab/>
        <w:t>4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et 5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045CC2E4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75AD55AE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18"/>
        <w:gridCol w:w="240"/>
        <w:gridCol w:w="2060"/>
        <w:gridCol w:w="240"/>
        <w:gridCol w:w="1528"/>
        <w:gridCol w:w="240"/>
        <w:gridCol w:w="3600"/>
        <w:gridCol w:w="240"/>
        <w:gridCol w:w="3164"/>
      </w:tblGrid>
      <w:tr w:rsidR="00E140DA" w:rsidRPr="00D55283" w14:paraId="1836476A" w14:textId="77777777">
        <w:trPr>
          <w:jc w:val="center"/>
        </w:trPr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BCDE89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 w:cs="Calibri"/>
                <w:lang w:val="fr-CA"/>
              </w:rPr>
              <w:t>Les choix et les décisions d’une personne influent sur son identité publique.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B1FE05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6ACDE7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L’analyse de nos forces et de nos capacités peut nous aider à définir nos objectifs.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69C05A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0527B2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leadership requiert l’écoute et </w:t>
            </w:r>
            <w:r w:rsidRPr="00D55283">
              <w:rPr>
                <w:rFonts w:ascii="Helvetica" w:hAnsi="Helvetica"/>
                <w:lang w:val="fr-CA"/>
              </w:rPr>
              <w:br/>
              <w:t>le respect des idées d’autrui.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D099D4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AA1C67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relations avec la famille et la communauté peuvent constituer une source où puiser soutien et conseil au moment de résoudre des problèmes et de prendre des décisions.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1072B5" w14:textId="77777777" w:rsidR="00E140DA" w:rsidRPr="00D55283" w:rsidRDefault="009000AA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3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0D7B0B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De bonnes habitudes de travail et d’apprentissage contribuent,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à court et à long terme, </w:t>
            </w:r>
            <w:r w:rsidRPr="00D55283">
              <w:rPr>
                <w:rFonts w:ascii="Helvetica" w:hAnsi="Helvetica"/>
                <w:lang w:val="fr-CA"/>
              </w:rPr>
              <w:br/>
              <w:t>à la réussite de la vie personnelle et professionnelle.</w:t>
            </w:r>
          </w:p>
        </w:tc>
      </w:tr>
    </w:tbl>
    <w:p w14:paraId="755E6EFE" w14:textId="77777777" w:rsidR="00E140DA" w:rsidRPr="00D55283" w:rsidRDefault="009000AA" w:rsidP="00903EB3">
      <w:pPr>
        <w:rPr>
          <w:rFonts w:ascii="Times New Roman" w:hAnsi="Times New Roman"/>
          <w:lang w:val="fr-CA"/>
        </w:rPr>
      </w:pPr>
    </w:p>
    <w:p w14:paraId="42D4FD09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E140DA" w:rsidRPr="00D55283" w14:paraId="6EAA9C53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FFC185C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53F7650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E140DA" w:rsidRPr="00D55283" w14:paraId="7EBE41AB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3BFE03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28C7541" w14:textId="70AAAE16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Décrire et apprécier ses qualités, ses habiletés et ses intérêts personnels, ainsi </w:t>
            </w:r>
            <w:r w:rsidRPr="00D55283">
              <w:rPr>
                <w:rFonts w:ascii="Helvetica" w:hAnsi="Helvetica"/>
                <w:lang w:val="fr-CA"/>
              </w:rPr>
              <w:br/>
              <w:t>que ses réalisations et le cheminement accompli avec le temps</w:t>
            </w:r>
          </w:p>
          <w:p w14:paraId="117B395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qu’il a besoin de personnes qui le soutiendront dans son apprentissage </w:t>
            </w:r>
            <w:r w:rsidRPr="00D55283">
              <w:rPr>
                <w:rFonts w:ascii="Helvetica" w:hAnsi="Helvetica"/>
                <w:lang w:val="fr-CA"/>
              </w:rPr>
              <w:br/>
              <w:t>et son épanouissement personnel</w:t>
            </w:r>
          </w:p>
          <w:p w14:paraId="3F53D33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la relation existant entre son identité dans la vie privée et son </w:t>
            </w:r>
            <w:r w:rsidRPr="00D55283">
              <w:rPr>
                <w:rFonts w:ascii="Helvetica" w:hAnsi="Helvetica"/>
                <w:b/>
                <w:lang w:val="fr-CA"/>
              </w:rPr>
              <w:t>identité numérique publique</w:t>
            </w:r>
            <w:r w:rsidRPr="00D55283">
              <w:rPr>
                <w:rFonts w:ascii="Helvetica" w:hAnsi="Helvetica"/>
                <w:lang w:val="fr-CA"/>
              </w:rPr>
              <w:t xml:space="preserve">, et des conséquences à la fois positives et négatives possibles </w:t>
            </w:r>
          </w:p>
          <w:p w14:paraId="0DD9B9B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Se montrer respectueux des différences en classe</w:t>
            </w:r>
          </w:p>
          <w:p w14:paraId="74B5B2A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Résoudre des problèmes en faisant appel à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</w:p>
          <w:p w14:paraId="7993E4CB" w14:textId="26560330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fixer des objectifs d’apprentissage réalistes à court et à long terme; définir </w:t>
            </w:r>
            <w:r w:rsidRPr="00D55283">
              <w:rPr>
                <w:rFonts w:ascii="Helvetica" w:hAnsi="Helvetica"/>
                <w:lang w:val="fr-CA"/>
              </w:rPr>
              <w:br/>
              <w:t>un parcours et vérifier ses progrès</w:t>
            </w:r>
          </w:p>
          <w:p w14:paraId="39BD331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Faire le lien entre les habitudes de travail efficaces et la réussite </w:t>
            </w:r>
          </w:p>
          <w:p w14:paraId="2A5CB54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Adopter des comportements sécuritaires dans divers milieux</w:t>
            </w:r>
          </w:p>
          <w:p w14:paraId="41A2E458" w14:textId="3F5C8B03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S’interroger et interroger d’autres personnes au sujet du rôle de la technologie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dans un monde du travail en mutation </w:t>
            </w:r>
          </w:p>
          <w:p w14:paraId="211EDA5D" w14:textId="5C4DC6E8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l’influence des relations avec les pairs, de la famille et </w:t>
            </w:r>
            <w:r w:rsidRPr="00D55283">
              <w:rPr>
                <w:rFonts w:ascii="Helvetica" w:hAnsi="Helvetica"/>
                <w:lang w:val="fr-CA"/>
              </w:rPr>
              <w:br/>
              <w:t>de la communauté sur les choix et les objectifs personnels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BE5D2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589C806E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06F7DF5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>stratégies d’établissement d’objectifs</w:t>
            </w:r>
          </w:p>
          <w:p w14:paraId="6E3EFAB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stratégies de résolution de problème et de prise de décision </w:t>
            </w:r>
          </w:p>
          <w:p w14:paraId="01254BF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</w:t>
            </w:r>
            <w:r w:rsidRPr="00D55283">
              <w:rPr>
                <w:rFonts w:ascii="Helvetica" w:hAnsi="Helvetica"/>
                <w:b/>
                <w:lang w:val="fr-CA"/>
              </w:rPr>
              <w:t>éveil aux qualités de leadership</w:t>
            </w:r>
          </w:p>
          <w:p w14:paraId="0EDF5A5C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299A2DE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conscience culturelle et sociale</w:t>
            </w:r>
          </w:p>
          <w:p w14:paraId="1AE0AC6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rôles et responsabilités des générations</w:t>
            </w:r>
          </w:p>
          <w:p w14:paraId="3843090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risques d’accident et les règles de sécurité </w:t>
            </w:r>
            <w:r w:rsidRPr="00D55283">
              <w:rPr>
                <w:rFonts w:ascii="Helvetica" w:hAnsi="Helvetica"/>
                <w:lang w:val="fr-CA"/>
              </w:rPr>
              <w:br/>
              <w:t>à la maison, à l’école et dans la communauté</w:t>
            </w:r>
          </w:p>
        </w:tc>
      </w:tr>
    </w:tbl>
    <w:p w14:paraId="3C67D09E" w14:textId="77777777" w:rsidR="00E140DA" w:rsidRPr="00D55283" w:rsidRDefault="00D5528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lang w:val="fr-CA"/>
        </w:rPr>
        <w:br w:type="page"/>
      </w:r>
      <w:r w:rsidR="00903EB3"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9264" behindDoc="0" locked="0" layoutInCell="1" allowOverlap="1" wp14:anchorId="3C0C8A50" wp14:editId="4822E100">
            <wp:simplePos x="0" y="0"/>
            <wp:positionH relativeFrom="column">
              <wp:posOffset>-148590</wp:posOffset>
            </wp:positionH>
            <wp:positionV relativeFrom="paragraph">
              <wp:posOffset>-200660</wp:posOffset>
            </wp:positionV>
            <wp:extent cx="863600" cy="72136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Pr="00D55283">
        <w:rPr>
          <w:rFonts w:ascii="Times New Roman" w:hAnsi="Times New Roman"/>
          <w:b/>
          <w:sz w:val="28"/>
          <w:lang w:val="fr-CA"/>
        </w:rPr>
        <w:tab/>
        <w:t>6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et 7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75BB08B3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2349A9EC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Style w:val="TableGrid"/>
        <w:tblW w:w="14561" w:type="dxa"/>
        <w:jc w:val="center"/>
        <w:shd w:val="clear" w:color="auto" w:fill="E0E0E0"/>
        <w:tblLook w:val="00A0" w:firstRow="1" w:lastRow="0" w:firstColumn="1" w:lastColumn="0" w:noHBand="0" w:noVBand="0"/>
      </w:tblPr>
      <w:tblGrid>
        <w:gridCol w:w="2764"/>
        <w:gridCol w:w="236"/>
        <w:gridCol w:w="1589"/>
        <w:gridCol w:w="238"/>
        <w:gridCol w:w="2212"/>
        <w:gridCol w:w="238"/>
        <w:gridCol w:w="2466"/>
        <w:gridCol w:w="236"/>
        <w:gridCol w:w="1719"/>
        <w:gridCol w:w="238"/>
        <w:gridCol w:w="2625"/>
      </w:tblGrid>
      <w:tr w:rsidR="00D55283" w:rsidRPr="00D55283" w14:paraId="6AA0F96B" w14:textId="77777777" w:rsidTr="00D55283">
        <w:trPr>
          <w:jc w:val="center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0895FA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perception de soi,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de même que les amis, </w:t>
            </w:r>
            <w:r w:rsidRPr="00D55283">
              <w:rPr>
                <w:rFonts w:ascii="Helvetica" w:hAnsi="Helvetica"/>
                <w:lang w:val="fr-CA"/>
              </w:rPr>
              <w:br/>
              <w:t>la famille et la communauté, sont des facteurs qui influent sur nos attitudes à l’égard des carrières.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6E9074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A89CEA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Notre identité personnelle numérique fait partie de notre identité publique.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9890A1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F13F3E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Un comportement respectueux, éthique, ouvert et inclusif nous prépare aux attentes établies dans le monde du travail.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3DD54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1EB502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Une bonne planification, l’établissement d’objectifs et la collaboration sont des éléments constitutifs du leadership.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12F13C" w14:textId="77777777" w:rsidR="00E140DA" w:rsidRPr="00D55283" w:rsidDel="000A0F25" w:rsidRDefault="009000AA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BD46A9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Pour avoir des milieux sûrs, chacun doit respecter les règles de sécurité.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4CC69E" w14:textId="77777777" w:rsidR="00E140DA" w:rsidRPr="00D55283" w:rsidRDefault="009000AA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6C73BD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nouvelles expériences vécues tant à l’intérieur qu’à l’extérieur de l’école accroissent nos habiletés et nos options liées</w:t>
            </w:r>
            <w:r w:rsidRPr="00D55283">
              <w:rPr>
                <w:rFonts w:ascii="Helvetica" w:hAnsi="Helvetica"/>
                <w:lang w:val="fr-CA"/>
              </w:rPr>
              <w:br/>
              <w:t>à la carrière.</w:t>
            </w:r>
          </w:p>
        </w:tc>
      </w:tr>
    </w:tbl>
    <w:p w14:paraId="3C8D5CF5" w14:textId="77777777" w:rsidR="00E140DA" w:rsidRPr="00D55283" w:rsidRDefault="009000AA" w:rsidP="00903EB3">
      <w:pPr>
        <w:rPr>
          <w:rFonts w:ascii="Times New Roman" w:hAnsi="Times New Roman"/>
          <w:sz w:val="18"/>
          <w:szCs w:val="18"/>
          <w:lang w:val="fr-CA"/>
        </w:rPr>
      </w:pPr>
    </w:p>
    <w:p w14:paraId="1633E9BD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299"/>
      </w:tblGrid>
      <w:tr w:rsidR="00D55283" w:rsidRPr="00D55283" w14:paraId="1FBE081E" w14:textId="77777777" w:rsidTr="00D55283">
        <w:tc>
          <w:tcPr>
            <w:tcW w:w="2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09ABD1E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2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B56105A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D55283" w:rsidRPr="00D55283" w14:paraId="110075A8" w14:textId="77777777" w:rsidTr="00D55283">
        <w:trPr>
          <w:trHeight w:val="484"/>
        </w:trPr>
        <w:tc>
          <w:tcPr>
            <w:tcW w:w="2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A1BF2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2E1F03D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ses </w:t>
            </w:r>
            <w:r w:rsidRPr="00D55283">
              <w:rPr>
                <w:rFonts w:ascii="Helvetica" w:hAnsi="Helvetica"/>
                <w:b/>
                <w:lang w:val="fr-CA"/>
              </w:rPr>
              <w:t>préférences personnelles</w:t>
            </w:r>
            <w:r w:rsidRPr="00D55283">
              <w:rPr>
                <w:rFonts w:ascii="Helvetica" w:hAnsi="Helvetica"/>
                <w:lang w:val="fr-CA"/>
              </w:rPr>
              <w:t xml:space="preserve">, ses habiletés, ses forces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et ses capacités par rapport à des choix de carrière possibles </w:t>
            </w:r>
          </w:p>
          <w:p w14:paraId="76E2D1F3" w14:textId="05FE8E1F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spacing w:val="-4"/>
                <w:lang w:val="fr-CA"/>
              </w:rPr>
            </w:pPr>
            <w:r w:rsidRPr="00D55283">
              <w:rPr>
                <w:rFonts w:ascii="Helvetica" w:hAnsi="Helvetica"/>
                <w:spacing w:val="-4"/>
                <w:lang w:val="fr-CA"/>
              </w:rPr>
              <w:t>S’interroger et interroger d’autres personnes pour savoir comment l’</w:t>
            </w:r>
            <w:r w:rsidRPr="00D55283">
              <w:rPr>
                <w:rFonts w:ascii="Helvetica" w:hAnsi="Helvetica"/>
                <w:b/>
                <w:spacing w:val="-4"/>
                <w:lang w:val="fr-CA"/>
              </w:rPr>
              <w:t>identité</w:t>
            </w:r>
            <w:r w:rsidRPr="00D55283">
              <w:rPr>
                <w:rFonts w:ascii="Helvetica" w:hAnsi="Helvetica"/>
                <w:spacing w:val="-4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spacing w:val="-4"/>
                <w:lang w:val="fr-CA"/>
              </w:rPr>
              <w:t>personnelle publique</w:t>
            </w:r>
            <w:r w:rsidRPr="00D55283">
              <w:rPr>
                <w:rFonts w:ascii="Helvetica" w:hAnsi="Helvetica"/>
                <w:spacing w:val="-4"/>
                <w:lang w:val="fr-CA"/>
              </w:rPr>
              <w:t xml:space="preserve"> peut avoir des conséquences aussi bien positives que négatives</w:t>
            </w:r>
          </w:p>
          <w:p w14:paraId="769D53BB" w14:textId="518C304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Examiner l’importance de l’apprentissage par le service communautaire et la responsabilité qui incombe à chacun de contribuer à la vie de la communauté </w:t>
            </w:r>
            <w:r w:rsidRPr="00D55283">
              <w:rPr>
                <w:rFonts w:ascii="Helvetica" w:hAnsi="Helvetica"/>
                <w:lang w:val="fr-CA"/>
              </w:rPr>
              <w:br/>
              <w:t>locale et mondiale</w:t>
            </w:r>
          </w:p>
          <w:p w14:paraId="0CA221E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l’importance du respect, de l’inclusion sociale et d’autres comportements positifs dans des milieux d’apprentissage et de travail coopératifs hétérogènes </w:t>
            </w:r>
          </w:p>
          <w:p w14:paraId="42FB3CDC" w14:textId="0A25059D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S’interroger et interroger d’autres personnes au sujet de l’</w:t>
            </w:r>
            <w:r w:rsidRPr="00D55283">
              <w:rPr>
                <w:rFonts w:ascii="Helvetica" w:hAnsi="Helvetica"/>
                <w:b/>
                <w:lang w:val="fr-CA"/>
              </w:rPr>
              <w:t>interrelation</w:t>
            </w:r>
            <w:r w:rsidRPr="00D55283">
              <w:rPr>
                <w:rFonts w:ascii="Helvetica" w:hAnsi="Helvetica"/>
                <w:lang w:val="fr-CA"/>
              </w:rPr>
              <w:t xml:space="preserve"> de </w:t>
            </w:r>
            <w:r w:rsidRPr="00D55283">
              <w:rPr>
                <w:rFonts w:ascii="Helvetica" w:hAnsi="Helvetica"/>
                <w:lang w:val="fr-CA"/>
              </w:rPr>
              <w:br/>
              <w:t>la personne avec la communauté</w:t>
            </w:r>
          </w:p>
          <w:p w14:paraId="3B5AA8A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Résoudre des problèmes en faisant appel à l’</w:t>
            </w:r>
            <w:r w:rsidRPr="00D55283">
              <w:rPr>
                <w:rFonts w:ascii="Helvetica" w:hAnsi="Helvetica"/>
                <w:b/>
                <w:lang w:val="fr-CA"/>
              </w:rPr>
              <w:t>esprit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lang w:val="fr-CA"/>
              </w:rPr>
              <w:t>d’entreprise</w:t>
            </w:r>
            <w:r w:rsidRPr="00D55283">
              <w:rPr>
                <w:rFonts w:ascii="Helvetica" w:hAnsi="Helvetica"/>
                <w:lang w:val="fr-CA"/>
              </w:rPr>
              <w:t xml:space="preserve"> et à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</w:p>
          <w:p w14:paraId="2003E0C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Manifester ses compétences en leadership dans le cadre d’activités coopératives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à l’école et dans la communauté </w:t>
            </w:r>
          </w:p>
          <w:p w14:paraId="542515CF" w14:textId="1B03F423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Montrer qu’il possède des compétences en matière de sécurité dans un milieu d’apprentissage expérientiel </w:t>
            </w:r>
          </w:p>
        </w:tc>
        <w:tc>
          <w:tcPr>
            <w:tcW w:w="2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28C67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1B911BF8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28EAB6B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stratégies d’établissement d’objectifs</w:t>
            </w:r>
          </w:p>
          <w:p w14:paraId="4F6F3D4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</w:t>
            </w:r>
            <w:r w:rsidRPr="00D55283">
              <w:rPr>
                <w:rFonts w:ascii="Helvetica" w:hAnsi="Helvetica"/>
                <w:b/>
                <w:lang w:val="fr-CA"/>
              </w:rPr>
              <w:t>autoévaluation</w:t>
            </w:r>
          </w:p>
          <w:p w14:paraId="798DACB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gestion de projet</w:t>
            </w:r>
          </w:p>
          <w:p w14:paraId="4B28F5D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leadership </w:t>
            </w:r>
          </w:p>
          <w:p w14:paraId="7D6B82C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stratégies de résolution de problème et de prise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de décision </w:t>
            </w:r>
          </w:p>
          <w:p w14:paraId="20851869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2D06416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>besoins et possibilités à l’échelle locale et mondiale</w:t>
            </w:r>
          </w:p>
          <w:p w14:paraId="6407A3F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conscience culturelle et sociale</w:t>
            </w:r>
          </w:p>
          <w:p w14:paraId="1429561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citoyenneté mondiale </w:t>
            </w:r>
          </w:p>
          <w:p w14:paraId="10D8FF7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possibilités de bénévolat</w:t>
            </w:r>
          </w:p>
          <w:p w14:paraId="6FCD0770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Projet de vie et de carrière</w:t>
            </w:r>
          </w:p>
          <w:p w14:paraId="27A34F0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facteurs ayant une influence sur les types d’emplois existant dans la communauté</w:t>
            </w:r>
          </w:p>
          <w:p w14:paraId="3F1B4C0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technologie en milieu d’apprentissage et de travail</w:t>
            </w:r>
          </w:p>
          <w:p w14:paraId="15419BB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rôle des mentors, de la famille, de la communauté, </w:t>
            </w:r>
            <w:r w:rsidRPr="00D55283">
              <w:rPr>
                <w:rFonts w:ascii="Helvetica" w:hAnsi="Helvetica"/>
                <w:lang w:val="fr-CA"/>
              </w:rPr>
              <w:br/>
              <w:t>de l’école et du réseau personnel dans la prise de décision</w:t>
            </w:r>
          </w:p>
        </w:tc>
      </w:tr>
    </w:tbl>
    <w:p w14:paraId="59AE7942" w14:textId="77777777" w:rsidR="00E140DA" w:rsidRPr="00D55283" w:rsidRDefault="00903EB3" w:rsidP="00903EB3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4144" behindDoc="0" locked="0" layoutInCell="1" allowOverlap="1" wp14:anchorId="1D044A09" wp14:editId="48990406">
            <wp:simplePos x="0" y="0"/>
            <wp:positionH relativeFrom="column">
              <wp:posOffset>-148345</wp:posOffset>
            </wp:positionH>
            <wp:positionV relativeFrom="paragraph">
              <wp:posOffset>-200660</wp:posOffset>
            </wp:positionV>
            <wp:extent cx="860569" cy="721360"/>
            <wp:effectExtent l="0" t="0" r="3175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83"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="00D55283" w:rsidRPr="00D55283">
        <w:rPr>
          <w:rFonts w:ascii="Times New Roman" w:hAnsi="Times New Roman"/>
          <w:b/>
          <w:sz w:val="28"/>
          <w:lang w:val="fr-CA"/>
        </w:rPr>
        <w:tab/>
        <w:t>6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et 7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156EC0E8" w14:textId="77777777" w:rsidR="00E140DA" w:rsidRPr="00D55283" w:rsidRDefault="00D55283" w:rsidP="00903EB3">
      <w:pPr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54EB3549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bCs/>
          <w:sz w:val="28"/>
          <w:szCs w:val="28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9"/>
        <w:gridCol w:w="6067"/>
      </w:tblGrid>
      <w:tr w:rsidR="00E140DA" w:rsidRPr="00D55283" w14:paraId="62648BB2" w14:textId="77777777">
        <w:tc>
          <w:tcPr>
            <w:tcW w:w="2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68036A" w14:textId="77777777" w:rsidR="00E140DA" w:rsidRPr="00D55283" w:rsidRDefault="00D55283" w:rsidP="00903EB3">
            <w:pPr>
              <w:spacing w:before="60" w:after="60"/>
              <w:rPr>
                <w:rFonts w:ascii="Times New Roman" w:hAnsi="Times New Roman"/>
                <w:b/>
                <w:bCs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lang w:val="fr-CA"/>
              </w:rPr>
              <w:t>Compétences disciplinaires</w:t>
            </w:r>
          </w:p>
        </w:tc>
        <w:tc>
          <w:tcPr>
            <w:tcW w:w="2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757E7CD" w14:textId="77777777" w:rsidR="00E140DA" w:rsidRPr="00D55283" w:rsidRDefault="00D55283" w:rsidP="00903EB3">
            <w:pPr>
              <w:spacing w:before="60" w:after="60"/>
              <w:rPr>
                <w:b/>
                <w:bCs/>
                <w:color w:val="FFFFFF"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color w:val="FFFFFF"/>
                <w:lang w:val="fr-CA"/>
              </w:rPr>
              <w:t>Contenu</w:t>
            </w:r>
          </w:p>
        </w:tc>
      </w:tr>
      <w:tr w:rsidR="00E140DA" w:rsidRPr="00D55283" w14:paraId="179462B7" w14:textId="77777777">
        <w:trPr>
          <w:trHeight w:val="484"/>
        </w:trPr>
        <w:tc>
          <w:tcPr>
            <w:tcW w:w="2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04AFA9" w14:textId="77777777" w:rsidR="00D55283" w:rsidRDefault="00D55283" w:rsidP="00D5528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fixer des objectifs d’apprentissage réalistes à court et à long terme; définir un parcours et vérifier ses progrès </w:t>
            </w:r>
          </w:p>
          <w:p w14:paraId="46501EE7" w14:textId="00D3CF39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Être conscient de l’influence des pairs, de la </w:t>
            </w:r>
            <w:r w:rsidRPr="00D55283">
              <w:rPr>
                <w:rFonts w:ascii="Helvetica" w:hAnsi="Helvetica"/>
                <w:b/>
                <w:lang w:val="fr-CA"/>
              </w:rPr>
              <w:t>famille et de la communauté</w:t>
            </w:r>
            <w:r w:rsidRPr="00D55283">
              <w:rPr>
                <w:rFonts w:ascii="Helvetica" w:hAnsi="Helvetica"/>
                <w:lang w:val="fr-CA"/>
              </w:rPr>
              <w:t xml:space="preserve"> sur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les choix de carrière et les </w:t>
            </w:r>
            <w:r w:rsidRPr="00D55283">
              <w:rPr>
                <w:rFonts w:ascii="Helvetica" w:hAnsi="Helvetica"/>
                <w:b/>
                <w:lang w:val="fr-CA"/>
              </w:rPr>
              <w:t>attitudes à l’égard du travail</w:t>
            </w:r>
          </w:p>
          <w:p w14:paraId="0ABE6BB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la valeur de nouvelles expériences vécues, de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et de la </w:t>
            </w:r>
            <w:r w:rsidRPr="00D55283">
              <w:rPr>
                <w:rFonts w:ascii="Helvetica" w:hAnsi="Helvetica"/>
                <w:b/>
                <w:lang w:val="fr-CA"/>
              </w:rPr>
              <w:t>prise de risque</w:t>
            </w:r>
            <w:r w:rsidRPr="00D55283">
              <w:rPr>
                <w:rFonts w:ascii="Helvetica" w:hAnsi="Helvetica"/>
                <w:lang w:val="fr-CA"/>
              </w:rPr>
              <w:t xml:space="preserve"> lorsqu’il s’agit d’élargir ses options de carrière </w:t>
            </w:r>
          </w:p>
          <w:p w14:paraId="4636551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Explorer des possibilités de faire du bénévolat et de vivre de nouvelles expériences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à l’extérieur de l’école; en reconnaître la valeur relativement au développement </w:t>
            </w:r>
            <w:r w:rsidRPr="00D55283">
              <w:rPr>
                <w:rFonts w:ascii="Helvetica" w:hAnsi="Helvetica"/>
                <w:lang w:val="fr-CA"/>
              </w:rPr>
              <w:br/>
              <w:t>de carrière</w:t>
            </w:r>
          </w:p>
          <w:p w14:paraId="2D6B53D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pacing w:val="-4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Employer des habiletés propres à la gestion de projet pour favoriser </w:t>
            </w:r>
            <w:r w:rsidRPr="00D55283">
              <w:rPr>
                <w:rFonts w:ascii="Helvetica" w:hAnsi="Helvetica"/>
                <w:lang w:val="fr-CA"/>
              </w:rPr>
              <w:br/>
              <w:t>le développement de carrière</w:t>
            </w:r>
          </w:p>
        </w:tc>
        <w:tc>
          <w:tcPr>
            <w:tcW w:w="2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7CE61B" w14:textId="77777777" w:rsidR="00E140DA" w:rsidRPr="00D55283" w:rsidRDefault="009000AA" w:rsidP="00903EB3">
            <w:pPr>
              <w:rPr>
                <w:rFonts w:ascii="Helvetica" w:hAnsi="Helvetica"/>
                <w:szCs w:val="22"/>
                <w:lang w:val="fr-CA"/>
              </w:rPr>
            </w:pPr>
          </w:p>
        </w:tc>
      </w:tr>
    </w:tbl>
    <w:p w14:paraId="329BD635" w14:textId="77777777" w:rsidR="00E140DA" w:rsidRPr="00D55283" w:rsidRDefault="009000AA" w:rsidP="00903EB3">
      <w:pPr>
        <w:rPr>
          <w:lang w:val="fr-CA"/>
        </w:rPr>
      </w:pPr>
    </w:p>
    <w:p w14:paraId="1184E6F9" w14:textId="77777777" w:rsidR="00E140DA" w:rsidRPr="00D55283" w:rsidRDefault="00D5528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lang w:val="fr-CA"/>
        </w:rPr>
        <w:br w:type="page"/>
      </w:r>
      <w:r w:rsidR="00903EB3"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60288" behindDoc="0" locked="0" layoutInCell="1" allowOverlap="1" wp14:anchorId="7D1E90D7" wp14:editId="18A79220">
            <wp:simplePos x="0" y="0"/>
            <wp:positionH relativeFrom="column">
              <wp:posOffset>-148590</wp:posOffset>
            </wp:positionH>
            <wp:positionV relativeFrom="paragraph">
              <wp:posOffset>-200660</wp:posOffset>
            </wp:positionV>
            <wp:extent cx="863600" cy="72136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Pr="00D55283">
        <w:rPr>
          <w:rFonts w:ascii="Times New Roman" w:hAnsi="Times New Roman"/>
          <w:b/>
          <w:sz w:val="28"/>
          <w:lang w:val="fr-CA"/>
        </w:rPr>
        <w:tab/>
        <w:t>8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et 9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329D91EF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61F44F7F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4"/>
        <w:gridCol w:w="240"/>
        <w:gridCol w:w="2624"/>
        <w:gridCol w:w="236"/>
        <w:gridCol w:w="2280"/>
        <w:gridCol w:w="260"/>
        <w:gridCol w:w="2640"/>
        <w:gridCol w:w="239"/>
        <w:gridCol w:w="2761"/>
      </w:tblGrid>
      <w:tr w:rsidR="00E140DA" w:rsidRPr="00D55283" w14:paraId="6BF13DB4" w14:textId="77777777" w:rsidTr="00D55283">
        <w:trPr>
          <w:jc w:val="center"/>
        </w:trPr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49A9486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Une réflexion sur nos préférences et nos habiletés nous aide à déterminer les mesures à prendre pour atteindre nos objectifs de carrière.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40CD44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0F9BD1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valeur du travail dans notre vie, dans nos communautés et la société peut être envisagée sous divers points de vue.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99344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F378BC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L’effort et la persévérance sont indispensables à l’atteinte des objectifs d’apprentissage.</w:t>
            </w: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6BA6C0" w14:textId="77777777" w:rsidR="00E140DA" w:rsidRPr="00D55283" w:rsidRDefault="009000AA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FE90784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souplesse est l’atout qui permet de s’adapter aux conditions changeantes de l’économie et du marché du travail.</w:t>
            </w: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D21EC7" w14:textId="77777777" w:rsidR="00E140DA" w:rsidRPr="00D55283" w:rsidRDefault="009000AA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F3B19A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Nos parcours de carrière résultent des choix que nous faisons dans des contextes personnel, communautaire et scolaire.</w:t>
            </w:r>
          </w:p>
        </w:tc>
      </w:tr>
    </w:tbl>
    <w:p w14:paraId="20D91DA6" w14:textId="77777777" w:rsidR="00E140DA" w:rsidRPr="00D55283" w:rsidRDefault="009000AA" w:rsidP="00903EB3">
      <w:pPr>
        <w:rPr>
          <w:rFonts w:ascii="Times New Roman" w:hAnsi="Times New Roman"/>
          <w:lang w:val="fr-CA"/>
        </w:rPr>
      </w:pPr>
    </w:p>
    <w:p w14:paraId="44533B80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7"/>
        <w:gridCol w:w="5829"/>
      </w:tblGrid>
      <w:tr w:rsidR="00E140DA" w:rsidRPr="00D55283" w14:paraId="7B597EA3" w14:textId="77777777"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81E814E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5536513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E140DA" w:rsidRPr="00D55283" w14:paraId="29027889" w14:textId="77777777">
        <w:trPr>
          <w:trHeight w:val="484"/>
        </w:trPr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5C3345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327A1E0" w14:textId="790AFA18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Parvenir à connaître ses forces, ses préférences et ses habiletés à l’aide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de l’autoévaluation et de la réflexion</w:t>
            </w:r>
          </w:p>
          <w:p w14:paraId="5279F6F9" w14:textId="2145423E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S’interroger et interroger d’autres personnes pour savoir comment, quand vient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le moment d’envisager des choix de carrière, les objectifs et les passions d’une personne peuvent cadrer avec les besoins de la communauté locale et mondiale</w:t>
            </w:r>
          </w:p>
          <w:p w14:paraId="2C049E2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Prendre conscience des conséquences associées à l’</w:t>
            </w:r>
            <w:r w:rsidRPr="00D55283">
              <w:rPr>
                <w:rFonts w:ascii="Helvetica" w:hAnsi="Helvetica"/>
                <w:b/>
                <w:lang w:val="fr-CA"/>
              </w:rPr>
              <w:t>identité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lang w:val="fr-CA"/>
              </w:rPr>
              <w:t>personnelle publique</w:t>
            </w:r>
            <w:r w:rsidRPr="00D55283">
              <w:rPr>
                <w:rFonts w:ascii="Helvetica" w:hAnsi="Helvetica"/>
                <w:lang w:val="fr-CA"/>
              </w:rPr>
              <w:t xml:space="preserve"> par rapport au monde du travail</w:t>
            </w:r>
          </w:p>
          <w:p w14:paraId="4834F785" w14:textId="4B33E782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montrer respectueux, coopératif et inclusif lorsqu’il travaille avec d’autres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pour résoudre des problèmes </w:t>
            </w:r>
          </w:p>
          <w:p w14:paraId="3308749F" w14:textId="3513947A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en considération et </w:t>
            </w:r>
            <w:r w:rsidRPr="00D55283">
              <w:rPr>
                <w:rFonts w:ascii="Helvetica" w:hAnsi="Helvetica"/>
                <w:b/>
                <w:lang w:val="fr-CA"/>
              </w:rPr>
              <w:t>explorer divers points de vue</w:t>
            </w:r>
            <w:r w:rsidRPr="00D55283">
              <w:rPr>
                <w:rFonts w:ascii="Helvetica" w:hAnsi="Helvetica"/>
                <w:lang w:val="fr-CA"/>
              </w:rPr>
              <w:t xml:space="preserve"> sur la façon dont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le travail contribue au bien-être de sa communauté et de la société</w:t>
            </w:r>
          </w:p>
          <w:p w14:paraId="666EC04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Montrer qu’il possède des compétences en matière de sécurité et comprendre l’importance de celle-ci dans les lieux de travail</w:t>
            </w:r>
          </w:p>
          <w:p w14:paraId="41D3D07E" w14:textId="40FF218E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fixer des objectifs d’apprentissage réalistes et faire preuve de persévérance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et de résilience pour les atteindre</w:t>
            </w:r>
          </w:p>
          <w:p w14:paraId="75F2440B" w14:textId="16B728B1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en considération l’influence sur le </w:t>
            </w:r>
            <w:r w:rsidRPr="00D55283">
              <w:rPr>
                <w:rFonts w:ascii="Helvetica" w:hAnsi="Helvetica"/>
                <w:b/>
                <w:lang w:val="fr-CA"/>
              </w:rPr>
              <w:t>parcours de carrière</w:t>
            </w:r>
            <w:r w:rsidRPr="00D55283">
              <w:rPr>
                <w:rFonts w:ascii="Helvetica" w:hAnsi="Helvetica"/>
                <w:lang w:val="fr-CA"/>
              </w:rPr>
              <w:t xml:space="preserve"> des choix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de programme d’études et d’activités parallèles à un programme </w:t>
            </w:r>
          </w:p>
          <w:p w14:paraId="4C400D43" w14:textId="0BA0DB8E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Apprécier la valeur d’un réseau comprenant des personnes-ressources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et des </w:t>
            </w:r>
            <w:r w:rsidRPr="00D55283">
              <w:rPr>
                <w:rFonts w:ascii="Helvetica" w:hAnsi="Helvetica"/>
                <w:b/>
                <w:lang w:val="fr-CA"/>
              </w:rPr>
              <w:t>mentors</w:t>
            </w:r>
            <w:r w:rsidRPr="00D55283">
              <w:rPr>
                <w:rFonts w:ascii="Helvetica" w:hAnsi="Helvetica"/>
                <w:lang w:val="fr-CA"/>
              </w:rPr>
              <w:t xml:space="preserve"> pouvant l’aider dans sa démarche d’exploration de carrières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9990F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3281A67F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32DD2C01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stratégies d’établissement d’objectifs</w:t>
            </w:r>
          </w:p>
          <w:p w14:paraId="69EE025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</w:t>
            </w:r>
            <w:r w:rsidRPr="00D55283">
              <w:rPr>
                <w:rFonts w:ascii="Helvetica" w:hAnsi="Helvetica"/>
                <w:b/>
                <w:lang w:val="fr-CA"/>
              </w:rPr>
              <w:t xml:space="preserve">autoévaluation </w:t>
            </w:r>
            <w:r w:rsidRPr="00D55283">
              <w:rPr>
                <w:rFonts w:ascii="Helvetica" w:hAnsi="Helvetica"/>
                <w:lang w:val="fr-CA"/>
              </w:rPr>
              <w:t xml:space="preserve">dans un contexte de recherche </w:t>
            </w:r>
            <w:r w:rsidRPr="00D55283">
              <w:rPr>
                <w:rFonts w:ascii="Helvetica" w:hAnsi="Helvetica"/>
                <w:lang w:val="fr-CA"/>
              </w:rPr>
              <w:br/>
              <w:t>de carrière</w:t>
            </w:r>
          </w:p>
          <w:p w14:paraId="6ADCDDF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réflexion</w:t>
            </w:r>
          </w:p>
          <w:p w14:paraId="363BE0B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gestion de projet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</w:p>
          <w:p w14:paraId="32297952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7C1FFD4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 xml:space="preserve">besoins et possibilités à l’échelle locale </w:t>
            </w:r>
            <w:r w:rsidRPr="00D55283">
              <w:rPr>
                <w:rFonts w:ascii="Helvetica" w:hAnsi="Helvetica"/>
                <w:b/>
                <w:lang w:val="fr-CA"/>
              </w:rPr>
              <w:br/>
              <w:t>et mondiale</w:t>
            </w:r>
          </w:p>
          <w:p w14:paraId="7244795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conscience culturelle et sociale</w:t>
            </w:r>
          </w:p>
          <w:p w14:paraId="47F0C644" w14:textId="1FEC22C8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facteurs influant sur les types d’emplois existant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dans la communauté</w:t>
            </w:r>
          </w:p>
          <w:p w14:paraId="7AF304A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valeur du bénévolat au regard de la carrière</w:t>
            </w:r>
          </w:p>
          <w:p w14:paraId="58076937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Projet de vie et de carrière</w:t>
            </w:r>
          </w:p>
          <w:p w14:paraId="2F5C534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exigences pour l’obtention du diplôme d’études secondaires</w:t>
            </w:r>
          </w:p>
          <w:p w14:paraId="53596EF4" w14:textId="6AEDE320" w:rsidR="00E140DA" w:rsidRPr="00D55283" w:rsidRDefault="00D55283" w:rsidP="00D5528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 rôle des mentors, de la famille, de la communauté, de l’école et du réseau personnel dans la prise de décision</w:t>
            </w:r>
          </w:p>
        </w:tc>
      </w:tr>
    </w:tbl>
    <w:p w14:paraId="5ED6D6D7" w14:textId="77777777" w:rsidR="00E140DA" w:rsidRPr="00D55283" w:rsidRDefault="00903EB3" w:rsidP="00903EB3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5168" behindDoc="0" locked="0" layoutInCell="1" allowOverlap="1" wp14:anchorId="1FC516EB" wp14:editId="670CFE6D">
            <wp:simplePos x="0" y="0"/>
            <wp:positionH relativeFrom="column">
              <wp:posOffset>-148345</wp:posOffset>
            </wp:positionH>
            <wp:positionV relativeFrom="paragraph">
              <wp:posOffset>-200660</wp:posOffset>
            </wp:positionV>
            <wp:extent cx="860569" cy="721360"/>
            <wp:effectExtent l="0" t="0" r="3175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83"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="00D55283" w:rsidRPr="00D55283">
        <w:rPr>
          <w:rFonts w:ascii="Times New Roman" w:hAnsi="Times New Roman"/>
          <w:b/>
          <w:sz w:val="28"/>
          <w:lang w:val="fr-CA"/>
        </w:rPr>
        <w:tab/>
        <w:t>8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et 9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72FCE359" w14:textId="77777777" w:rsidR="00E140DA" w:rsidRPr="00D55283" w:rsidRDefault="00D55283" w:rsidP="00903EB3">
      <w:pPr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6AAAC717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bCs/>
          <w:sz w:val="28"/>
          <w:szCs w:val="28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7"/>
        <w:gridCol w:w="5829"/>
      </w:tblGrid>
      <w:tr w:rsidR="00E140DA" w:rsidRPr="00D55283" w14:paraId="02A4BFBC" w14:textId="77777777"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4A49DA4" w14:textId="77777777" w:rsidR="00E140DA" w:rsidRPr="00D55283" w:rsidRDefault="00D55283" w:rsidP="00903EB3">
            <w:pPr>
              <w:spacing w:before="60" w:after="60"/>
              <w:rPr>
                <w:rFonts w:ascii="Times New Roman" w:hAnsi="Times New Roman"/>
                <w:b/>
                <w:bCs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lang w:val="fr-CA"/>
              </w:rPr>
              <w:t>Compétences disciplinaires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405FB7" w14:textId="77777777" w:rsidR="00E140DA" w:rsidRPr="00D55283" w:rsidRDefault="00D55283" w:rsidP="00903EB3">
            <w:pPr>
              <w:spacing w:before="60" w:after="60"/>
              <w:rPr>
                <w:b/>
                <w:bCs/>
                <w:color w:val="FFFFFF"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color w:val="FFFFFF"/>
                <w:lang w:val="fr-CA"/>
              </w:rPr>
              <w:t>Contenu</w:t>
            </w:r>
          </w:p>
        </w:tc>
      </w:tr>
      <w:tr w:rsidR="00E140DA" w:rsidRPr="00D55283" w14:paraId="1796932D" w14:textId="77777777">
        <w:trPr>
          <w:trHeight w:val="484"/>
        </w:trPr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D2095" w14:textId="77777777" w:rsidR="00D55283" w:rsidRDefault="00D55283" w:rsidP="00D5528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S’interroger et interroger d’autres personnes quant au rôle que jouent les attentes </w:t>
            </w:r>
            <w:r w:rsidRPr="00D55283">
              <w:rPr>
                <w:rFonts w:ascii="PMingLiU" w:eastAsia="PMingLiU" w:hAnsi="PMingLiU" w:cs="PMingLiU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et les traditions familiales, de même que les besoins de la communauté, dans les choix de carrière </w:t>
            </w:r>
          </w:p>
          <w:p w14:paraId="055C3105" w14:textId="0AA7E054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Employer un éventail de </w:t>
            </w:r>
            <w:r w:rsidRPr="00D55283">
              <w:rPr>
                <w:rFonts w:ascii="Helvetica" w:hAnsi="Helvetica"/>
                <w:b/>
                <w:lang w:val="fr-CA"/>
              </w:rPr>
              <w:t>compétences en recherche</w:t>
            </w:r>
            <w:r w:rsidRPr="00D55283">
              <w:rPr>
                <w:rFonts w:ascii="Helvetica" w:hAnsi="Helvetica"/>
                <w:lang w:val="fr-CA"/>
              </w:rPr>
              <w:t xml:space="preserve"> pour en apprendre davantage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sur diverses possibilités de carrières et comprendre les </w:t>
            </w:r>
            <w:r w:rsidRPr="00D55283">
              <w:rPr>
                <w:rFonts w:ascii="Helvetica" w:hAnsi="Helvetica"/>
                <w:b/>
                <w:lang w:val="fr-CA"/>
              </w:rPr>
              <w:t>groupes de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lang w:val="fr-CA"/>
              </w:rPr>
              <w:t>carrières</w:t>
            </w:r>
          </w:p>
          <w:p w14:paraId="3CD13641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Explorer les expériences de bénévolat et autres nouvelles situations d’apprentissage qui stimulent l’</w:t>
            </w:r>
            <w:r w:rsidRPr="00D55283">
              <w:rPr>
                <w:rFonts w:ascii="Helvetica" w:hAnsi="Helvetica"/>
                <w:b/>
                <w:lang w:val="fr-CA"/>
              </w:rPr>
              <w:t>esprit d’entreprise</w:t>
            </w:r>
            <w:r w:rsidRPr="00D55283">
              <w:rPr>
                <w:rFonts w:ascii="Helvetica" w:hAnsi="Helvetica"/>
                <w:lang w:val="fr-CA"/>
              </w:rPr>
              <w:t xml:space="preserve"> et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</w:p>
          <w:p w14:paraId="411B373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pacing w:val="-4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Employer des stratégies de prise de décision pour régler un problème lié à la vie courante, au travail ou à la communauté; les modifier pour les adapter à de nouvelles situations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C21A15" w14:textId="48315762" w:rsidR="00D55283" w:rsidRPr="00D55283" w:rsidRDefault="00D55283" w:rsidP="00D5528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l’influence de la technologie quant à l’apprentissage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et au travail </w:t>
            </w:r>
          </w:p>
          <w:p w14:paraId="4C2315B2" w14:textId="626F797C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sécurité dans les lieux de travail</w:t>
            </w:r>
          </w:p>
          <w:p w14:paraId="79043523" w14:textId="77777777" w:rsidR="00E140DA" w:rsidRPr="00D55283" w:rsidRDefault="00D55283" w:rsidP="00903EB3">
            <w:pPr>
              <w:pStyle w:val="ListParagraphindent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évaluation du danger et maîtrise des risques</w:t>
            </w:r>
          </w:p>
          <w:p w14:paraId="31777A00" w14:textId="77777777" w:rsidR="00E140DA" w:rsidRPr="00D55283" w:rsidRDefault="00D55283" w:rsidP="00903EB3">
            <w:pPr>
              <w:pStyle w:val="ListParagraphindent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droits et responsabilités du travailleur</w:t>
            </w:r>
          </w:p>
          <w:p w14:paraId="4F901642" w14:textId="77777777" w:rsidR="00E140DA" w:rsidRPr="00D55283" w:rsidRDefault="00D55283" w:rsidP="00903EB3">
            <w:pPr>
              <w:pStyle w:val="ListParagraphindent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procédures d’urgence</w:t>
            </w:r>
          </w:p>
          <w:p w14:paraId="65B2CE05" w14:textId="27F21B3A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rôle de la communauté, de l’école, du réseau personnel et du mentorat dans la planification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de carrière</w:t>
            </w:r>
          </w:p>
        </w:tc>
      </w:tr>
    </w:tbl>
    <w:p w14:paraId="0698D468" w14:textId="77777777" w:rsidR="00E140DA" w:rsidRPr="00D55283" w:rsidRDefault="009000AA" w:rsidP="00903EB3">
      <w:pPr>
        <w:rPr>
          <w:lang w:val="fr-CA"/>
        </w:rPr>
      </w:pPr>
    </w:p>
    <w:sectPr w:rsidR="00E140DA" w:rsidRPr="00D55283" w:rsidSect="00E140DA">
      <w:footerReference w:type="default" r:id="rId9"/>
      <w:pgSz w:w="15840" w:h="12240" w:orient="landscape"/>
      <w:pgMar w:top="860" w:right="860" w:bottom="8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3E967" w14:textId="77777777" w:rsidR="00EF099B" w:rsidRDefault="00D55283">
      <w:r>
        <w:separator/>
      </w:r>
    </w:p>
  </w:endnote>
  <w:endnote w:type="continuationSeparator" w:id="0">
    <w:p w14:paraId="4DAF68DC" w14:textId="77777777" w:rsidR="00EF099B" w:rsidRDefault="00D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B96F" w14:textId="77777777" w:rsidR="00E140DA" w:rsidRPr="00903EB3" w:rsidRDefault="00D55283" w:rsidP="00E140D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903EB3">
      <w:rPr>
        <w:rFonts w:ascii="Helvetica" w:hAnsi="Helvetica"/>
        <w:i/>
        <w:sz w:val="20"/>
        <w:lang w:val="fr-CA"/>
      </w:rPr>
      <w:t>Juin 2016</w:t>
    </w:r>
    <w:r w:rsidRPr="00903EB3">
      <w:rPr>
        <w:rFonts w:ascii="Helvetica" w:hAnsi="Helvetica"/>
        <w:i/>
        <w:sz w:val="20"/>
        <w:lang w:val="fr-CA"/>
      </w:rPr>
      <w:tab/>
    </w:r>
    <w:r w:rsidRPr="00903EB3">
      <w:rPr>
        <w:rStyle w:val="PageNumber"/>
        <w:rFonts w:ascii="Helvetica" w:hAnsi="Helvetica"/>
        <w:sz w:val="20"/>
        <w:lang w:val="fr-CA"/>
      </w:rPr>
      <w:t>www.curriculum.gov.bc.ca</w:t>
    </w:r>
    <w:r w:rsidRPr="00903EB3">
      <w:rPr>
        <w:rFonts w:ascii="Helvetica" w:hAnsi="Helvetica"/>
        <w:i/>
        <w:sz w:val="20"/>
        <w:lang w:val="fr-CA"/>
      </w:rPr>
      <w:tab/>
      <w:t>© Province de la Colombie-Britannique</w:t>
    </w:r>
    <w:r w:rsidRPr="00903EB3">
      <w:rPr>
        <w:rFonts w:ascii="Helvetica" w:hAnsi="Helvetica"/>
        <w:i/>
        <w:sz w:val="20"/>
        <w:lang w:val="fr-CA"/>
      </w:rPr>
      <w:tab/>
      <w:t>•</w:t>
    </w:r>
    <w:r w:rsidRPr="00903EB3">
      <w:rPr>
        <w:rFonts w:ascii="Helvetica" w:hAnsi="Helvetica"/>
        <w:i/>
        <w:sz w:val="20"/>
        <w:lang w:val="fr-CA"/>
      </w:rPr>
      <w:tab/>
    </w:r>
    <w:r w:rsidRPr="00903EB3">
      <w:rPr>
        <w:rStyle w:val="PageNumber"/>
        <w:rFonts w:ascii="Helvetica" w:hAnsi="Helvetica"/>
        <w:i/>
        <w:sz w:val="20"/>
        <w:lang w:val="fr-CA"/>
      </w:rPr>
      <w:fldChar w:fldCharType="begin"/>
    </w:r>
    <w:r w:rsidRPr="00903EB3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903EB3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9000AA">
      <w:rPr>
        <w:rStyle w:val="PageNumber"/>
        <w:rFonts w:ascii="Helvetica" w:hAnsi="Helvetica"/>
        <w:i/>
        <w:noProof/>
        <w:sz w:val="20"/>
        <w:lang w:val="fr-CA"/>
      </w:rPr>
      <w:t>1</w:t>
    </w:r>
    <w:r w:rsidRPr="00903EB3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D9F94" w14:textId="77777777" w:rsidR="00EF099B" w:rsidRDefault="00D55283">
      <w:r>
        <w:separator/>
      </w:r>
    </w:p>
  </w:footnote>
  <w:footnote w:type="continuationSeparator" w:id="0">
    <w:p w14:paraId="4DA77BA3" w14:textId="77777777" w:rsidR="00EF099B" w:rsidRDefault="00D5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CDC"/>
    <w:multiLevelType w:val="hybridMultilevel"/>
    <w:tmpl w:val="347CEF60"/>
    <w:lvl w:ilvl="0" w:tplc="BE1CE532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5164FBD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5DB0B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C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43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8966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48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B05A2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C22F2"/>
    <w:multiLevelType w:val="hybridMultilevel"/>
    <w:tmpl w:val="1D6C2C92"/>
    <w:lvl w:ilvl="0" w:tplc="0A3423F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  <w:sz w:val="20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57779C"/>
    <w:rsid w:val="009000AA"/>
    <w:rsid w:val="00903EB3"/>
    <w:rsid w:val="00A9052F"/>
    <w:rsid w:val="00D55283"/>
    <w:rsid w:val="00EF099B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AB1C2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left" w:pos="480"/>
      </w:tabs>
      <w:spacing w:after="6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  <w:style w:type="paragraph" w:customStyle="1" w:styleId="ListParagraph1">
    <w:name w:val="List Paragraph1"/>
    <w:basedOn w:val="Normal"/>
    <w:qFormat/>
    <w:rsid w:val="003F39A7"/>
    <w:pPr>
      <w:tabs>
        <w:tab w:val="left" w:pos="480"/>
      </w:tabs>
      <w:spacing w:after="60"/>
      <w:ind w:left="480" w:hanging="24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Paragraphedeliste">
    <w:name w:val="Paragraphe de liste"/>
    <w:basedOn w:val="Normal"/>
    <w:qFormat/>
    <w:rsid w:val="003F3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left" w:pos="480"/>
      </w:tabs>
      <w:spacing w:after="6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  <w:style w:type="paragraph" w:customStyle="1" w:styleId="ListParagraph1">
    <w:name w:val="List Paragraph1"/>
    <w:basedOn w:val="Normal"/>
    <w:qFormat/>
    <w:rsid w:val="003F39A7"/>
    <w:pPr>
      <w:tabs>
        <w:tab w:val="left" w:pos="480"/>
      </w:tabs>
      <w:spacing w:after="60"/>
      <w:ind w:left="480" w:hanging="24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Paragraphedeliste">
    <w:name w:val="Paragraphe de liste"/>
    <w:basedOn w:val="Normal"/>
    <w:qFormat/>
    <w:rsid w:val="003F3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9661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11311</CharactersWithSpaces>
  <SharedDoc>false</SharedDoc>
  <HyperlinkBase/>
  <HLinks>
    <vt:vector size="48" baseType="variant">
      <vt:variant>
        <vt:i4>4522051</vt:i4>
      </vt:variant>
      <vt:variant>
        <vt:i4>-1</vt:i4>
      </vt:variant>
      <vt:variant>
        <vt:i4>1172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1173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1174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1175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1176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1177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1178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1179</vt:i4>
      </vt:variant>
      <vt:variant>
        <vt:i4>1</vt:i4>
      </vt:variant>
      <vt:variant>
        <vt:lpwstr>BC Ministry of Educ French Logo Grey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2016-05-28T17:39:00Z</cp:lastPrinted>
  <dcterms:created xsi:type="dcterms:W3CDTF">2018-07-05T21:05:00Z</dcterms:created>
  <dcterms:modified xsi:type="dcterms:W3CDTF">2018-07-05T21:05:00Z</dcterms:modified>
</cp:coreProperties>
</file>