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F073E" w14:textId="5F224DBC" w:rsidR="0066139A" w:rsidRPr="004B385C" w:rsidRDefault="0066139A" w:rsidP="0066139A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drawing>
          <wp:anchor distT="0" distB="0" distL="114300" distR="114300" simplePos="0" relativeHeight="251671040" behindDoc="0" locked="0" layoutInCell="1" allowOverlap="1" wp14:anchorId="1450CDF1" wp14:editId="7AF952F1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85C">
        <w:rPr>
          <w:b/>
          <w:sz w:val="28"/>
          <w:lang w:val="fr-CA"/>
        </w:rPr>
        <w:t xml:space="preserve">Domaine d’apprentissage : FRANÇAIS LANGUE </w:t>
      </w:r>
      <w:r>
        <w:rPr>
          <w:b/>
          <w:sz w:val="28"/>
          <w:lang w:val="fr-CA"/>
        </w:rPr>
        <w:t>SECONDE – Immersion</w:t>
      </w:r>
      <w:r w:rsidRPr="004B385C">
        <w:rPr>
          <w:b/>
          <w:sz w:val="28"/>
          <w:lang w:val="fr-CA"/>
        </w:rPr>
        <w:t xml:space="preserve"> — </w:t>
      </w:r>
      <w:r w:rsidRPr="004B385C">
        <w:rPr>
          <w:b/>
          <w:sz w:val="28"/>
          <w:lang w:val="fr-CA"/>
        </w:rPr>
        <w:br/>
      </w:r>
      <w:r>
        <w:rPr>
          <w:b/>
          <w:bCs/>
          <w:sz w:val="28"/>
          <w:szCs w:val="28"/>
          <w:lang w:val="fr-FR"/>
        </w:rPr>
        <w:tab/>
      </w:r>
      <w:r w:rsidRPr="000D3253">
        <w:rPr>
          <w:b/>
          <w:bCs/>
          <w:sz w:val="28"/>
          <w:szCs w:val="28"/>
          <w:lang w:val="fr-FR"/>
        </w:rPr>
        <w:t>Communication orale</w:t>
      </w:r>
      <w:r w:rsidRPr="004B385C">
        <w:rPr>
          <w:b/>
          <w:sz w:val="28"/>
          <w:lang w:val="fr-CA"/>
        </w:rPr>
        <w:tab/>
      </w:r>
      <w:r w:rsidRPr="004B385C">
        <w:rPr>
          <w:b/>
          <w:bCs/>
          <w:sz w:val="28"/>
          <w:szCs w:val="28"/>
          <w:lang w:val="fr-CA"/>
        </w:rPr>
        <w:t>1</w:t>
      </w:r>
      <w:r>
        <w:rPr>
          <w:b/>
          <w:bCs/>
          <w:sz w:val="28"/>
          <w:szCs w:val="28"/>
          <w:lang w:val="fr-CA"/>
        </w:rPr>
        <w:t>1</w:t>
      </w:r>
      <w:r w:rsidRPr="004B385C">
        <w:rPr>
          <w:b/>
          <w:bCs/>
          <w:position w:val="6"/>
          <w:sz w:val="20"/>
          <w:szCs w:val="20"/>
          <w:lang w:val="fr-CA"/>
        </w:rPr>
        <w:t>e</w:t>
      </w:r>
      <w:r w:rsidRPr="004B385C">
        <w:rPr>
          <w:b/>
          <w:bCs/>
          <w:sz w:val="28"/>
          <w:szCs w:val="28"/>
          <w:lang w:val="fr-CA"/>
        </w:rPr>
        <w:t xml:space="preserve"> année</w:t>
      </w:r>
    </w:p>
    <w:p w14:paraId="2E15C5C4" w14:textId="77777777" w:rsidR="0066139A" w:rsidRPr="004B385C" w:rsidRDefault="0066139A" w:rsidP="0066139A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11D7908D" w14:textId="2D6B0DBD" w:rsidR="00CA564F" w:rsidRPr="004B385C" w:rsidRDefault="0066139A" w:rsidP="00CA564F">
      <w:pPr>
        <w:tabs>
          <w:tab w:val="left" w:pos="2160"/>
        </w:tabs>
        <w:spacing w:before="480" w:after="240"/>
        <w:ind w:left="240" w:right="320"/>
        <w:jc w:val="center"/>
        <w:rPr>
          <w:rFonts w:cs="Cambria"/>
          <w:sz w:val="28"/>
        </w:rPr>
      </w:pPr>
      <w:r w:rsidRPr="00CC100B">
        <w:rPr>
          <w:b/>
          <w:sz w:val="28"/>
          <w:lang w:val="fr-CA"/>
        </w:rPr>
        <w:t xml:space="preserve">FRANÇAIS LANGUE </w:t>
      </w:r>
      <w:r w:rsidRPr="00065C53">
        <w:rPr>
          <w:b/>
          <w:bCs/>
          <w:caps/>
          <w:sz w:val="28"/>
          <w:szCs w:val="28"/>
          <w:lang w:val="fr-FR"/>
        </w:rPr>
        <w:t>seconde</w:t>
      </w:r>
      <w:r w:rsidRPr="0082168D">
        <w:rPr>
          <w:b/>
          <w:sz w:val="28"/>
        </w:rPr>
        <w:t xml:space="preserve"> </w:t>
      </w:r>
      <w:r>
        <w:rPr>
          <w:b/>
          <w:sz w:val="28"/>
        </w:rPr>
        <w:t xml:space="preserve">– Immersion </w:t>
      </w:r>
      <w:r>
        <w:rPr>
          <w:b/>
          <w:sz w:val="28"/>
          <w:lang w:val="fr-CA"/>
        </w:rPr>
        <w:t>10 – 12</w:t>
      </w:r>
      <w:r w:rsidR="00CA564F" w:rsidRPr="004B385C">
        <w:rPr>
          <w:b/>
          <w:sz w:val="28"/>
          <w:lang w:val="fr-CA"/>
        </w:rPr>
        <w:br/>
      </w:r>
      <w:r w:rsidR="000D3253" w:rsidRPr="000D3253">
        <w:rPr>
          <w:b/>
          <w:bCs/>
          <w:sz w:val="28"/>
          <w:szCs w:val="28"/>
          <w:lang w:val="fr-FR"/>
        </w:rPr>
        <w:t>Communication orale</w:t>
      </w:r>
      <w:r w:rsidR="00CA564F" w:rsidRPr="000D3253">
        <w:rPr>
          <w:b/>
          <w:bCs/>
          <w:sz w:val="28"/>
          <w:szCs w:val="28"/>
          <w:lang w:val="fr-FR"/>
        </w:rPr>
        <w:t xml:space="preserve"> </w:t>
      </w:r>
      <w:r w:rsidR="00625242">
        <w:rPr>
          <w:b/>
          <w:bCs/>
          <w:sz w:val="28"/>
          <w:szCs w:val="28"/>
          <w:lang w:val="fr-FR"/>
        </w:rPr>
        <w:t xml:space="preserve">11 </w:t>
      </w:r>
      <w:r w:rsidR="00CA564F">
        <w:rPr>
          <w:b/>
          <w:bCs/>
          <w:sz w:val="28"/>
          <w:szCs w:val="28"/>
          <w:lang w:val="fr-FR"/>
        </w:rPr>
        <w:t>(4 crédits)</w:t>
      </w:r>
    </w:p>
    <w:p w14:paraId="11FDDBE2" w14:textId="0F42FB75" w:rsidR="000D3253" w:rsidRPr="00325535" w:rsidRDefault="000D3253" w:rsidP="0040342A">
      <w:pPr>
        <w:pStyle w:val="Intro"/>
      </w:pPr>
      <w:r w:rsidRPr="00325535">
        <w:t>Le cours de Communication orale 11 est conçu pour encourager l’élève à peaufiner et préciser sa communication grâce à la pratique et à la révision de textes provenant de la culture francophone avec un accent mis sur la communication à l’oral. Le cours offre à l’élève la possibilité d’explorer des textes authentiques ainsi que de créer,</w:t>
      </w:r>
      <w:r w:rsidRPr="00325535">
        <w:rPr>
          <w:color w:val="FF0000"/>
        </w:rPr>
        <w:t xml:space="preserve"> </w:t>
      </w:r>
      <w:r w:rsidRPr="00325535">
        <w:t>d'écrire et de partager des textes originaux</w:t>
      </w:r>
      <w:r w:rsidRPr="00325535">
        <w:rPr>
          <w:color w:val="FF0000"/>
        </w:rPr>
        <w:t xml:space="preserve"> </w:t>
      </w:r>
      <w:r w:rsidRPr="00325535">
        <w:t>à des fins variées dans un contexte actuel.</w:t>
      </w:r>
      <w:r w:rsidRPr="00325535">
        <w:rPr>
          <w:color w:val="FF0000"/>
        </w:rPr>
        <w:t xml:space="preserve"> </w:t>
      </w:r>
      <w:r w:rsidRPr="00325535">
        <w:t xml:space="preserve">L’élève développera également ses compétences d'écoute active. À travers des processus de rédaction, de réflexion et de révision, l’élève concevra un ensemble de textes pour une variété de situations langagières. Au fur et à mesure, l’élève développera la confiance dans ses capacités à communiquer tant à l’oral </w:t>
      </w:r>
      <w:bookmarkStart w:id="0" w:name="_GoBack"/>
      <w:bookmarkEnd w:id="0"/>
      <w:r w:rsidRPr="00325535">
        <w:t>qu’à l’écrit.</w:t>
      </w:r>
    </w:p>
    <w:p w14:paraId="52E92A78" w14:textId="77777777" w:rsidR="000D3253" w:rsidRPr="00325535" w:rsidRDefault="000D3253" w:rsidP="0040342A">
      <w:pPr>
        <w:pStyle w:val="Intro"/>
        <w:spacing w:after="120"/>
        <w:rPr>
          <w:lang w:val="fr-FR"/>
        </w:rPr>
      </w:pPr>
      <w:r w:rsidRPr="00325535">
        <w:t>Les éléments suivants pourraient être abordés dans le cours de Communication orale 11 :</w:t>
      </w:r>
    </w:p>
    <w:p w14:paraId="560F0E5E" w14:textId="77777777" w:rsidR="000D3253" w:rsidRPr="00325535" w:rsidRDefault="000D3253" w:rsidP="0040342A">
      <w:pPr>
        <w:pStyle w:val="Introbullet"/>
      </w:pPr>
      <w:r w:rsidRPr="00325535">
        <w:t>la création parlée, la poésie, le slam</w:t>
      </w:r>
    </w:p>
    <w:p w14:paraId="1AA6FEA6" w14:textId="77777777" w:rsidR="000D3253" w:rsidRPr="00325535" w:rsidRDefault="000D3253" w:rsidP="0040342A">
      <w:pPr>
        <w:pStyle w:val="Introbullet"/>
      </w:pPr>
      <w:r w:rsidRPr="00325535">
        <w:rPr>
          <w:lang w:val="fr-CA"/>
        </w:rPr>
        <w:t>la présentation de poèmes, les fables</w:t>
      </w:r>
    </w:p>
    <w:p w14:paraId="1383D942" w14:textId="77777777" w:rsidR="000D3253" w:rsidRPr="00325535" w:rsidRDefault="000D3253" w:rsidP="0040342A">
      <w:pPr>
        <w:pStyle w:val="Introbullet"/>
      </w:pPr>
      <w:r w:rsidRPr="00325535">
        <w:t>la pièce de théâtre, le théâtre des lecteurs, la saynète</w:t>
      </w:r>
    </w:p>
    <w:p w14:paraId="4432803C" w14:textId="77777777" w:rsidR="000D3253" w:rsidRPr="00325535" w:rsidRDefault="000D3253" w:rsidP="0040342A">
      <w:pPr>
        <w:pStyle w:val="Introbullet"/>
      </w:pPr>
      <w:r w:rsidRPr="00325535">
        <w:t>l'improvisation</w:t>
      </w:r>
    </w:p>
    <w:p w14:paraId="606E4DAB" w14:textId="77777777" w:rsidR="000D3253" w:rsidRPr="00325535" w:rsidRDefault="000D3253" w:rsidP="0040342A">
      <w:pPr>
        <w:pStyle w:val="Introbullet"/>
      </w:pPr>
      <w:r w:rsidRPr="00325535">
        <w:t>la radio, la ballado-diffusion, la vidéo</w:t>
      </w:r>
    </w:p>
    <w:p w14:paraId="02A68B17" w14:textId="77777777" w:rsidR="000D3253" w:rsidRPr="00325535" w:rsidRDefault="000D3253" w:rsidP="0040342A">
      <w:pPr>
        <w:pStyle w:val="Introbullet"/>
      </w:pPr>
      <w:r w:rsidRPr="00325535">
        <w:t>la chanson</w:t>
      </w:r>
    </w:p>
    <w:p w14:paraId="4A32AF65" w14:textId="77777777" w:rsidR="000D3253" w:rsidRPr="00325535" w:rsidRDefault="000D3253" w:rsidP="0040342A">
      <w:pPr>
        <w:pStyle w:val="Introbullet"/>
      </w:pPr>
      <w:r w:rsidRPr="00325535">
        <w:t>le discours</w:t>
      </w:r>
    </w:p>
    <w:p w14:paraId="157F9ED2" w14:textId="77777777" w:rsidR="000D3253" w:rsidRPr="00325535" w:rsidRDefault="000D3253" w:rsidP="0040342A">
      <w:pPr>
        <w:pStyle w:val="Introbullet"/>
      </w:pPr>
      <w:r w:rsidRPr="00325535">
        <w:t>le débat et l'argumentation</w:t>
      </w:r>
    </w:p>
    <w:p w14:paraId="5BFCA2B2" w14:textId="77777777" w:rsidR="000D3253" w:rsidRPr="00325535" w:rsidRDefault="000D3253" w:rsidP="0040342A">
      <w:pPr>
        <w:pStyle w:val="Introbullet"/>
      </w:pPr>
      <w:r w:rsidRPr="00325535">
        <w:t>l'exposé oral</w:t>
      </w:r>
    </w:p>
    <w:p w14:paraId="05FA80A7" w14:textId="77777777" w:rsidR="000D3253" w:rsidRPr="00325535" w:rsidRDefault="000D3253" w:rsidP="0040342A">
      <w:pPr>
        <w:pStyle w:val="Introbullet"/>
        <w:rPr>
          <w:lang w:val="fr-CA"/>
        </w:rPr>
      </w:pPr>
      <w:r w:rsidRPr="00325535">
        <w:rPr>
          <w:lang w:val="fr-CA"/>
        </w:rPr>
        <w:t>les récits des peuples autochtones</w:t>
      </w:r>
    </w:p>
    <w:p w14:paraId="2CF7ECE0" w14:textId="0405088A" w:rsidR="0040342A" w:rsidRPr="0040342A" w:rsidRDefault="000D3253" w:rsidP="0040342A">
      <w:pPr>
        <w:pStyle w:val="Introbullet"/>
      </w:pPr>
      <w:r w:rsidRPr="00325535">
        <w:t>les publicités</w:t>
      </w:r>
    </w:p>
    <w:p w14:paraId="453ED30B" w14:textId="77777777" w:rsidR="0040342A" w:rsidRPr="0076430A" w:rsidRDefault="0040342A" w:rsidP="0040342A"/>
    <w:p w14:paraId="15B0B14A" w14:textId="77777777" w:rsidR="00815E42" w:rsidRPr="0082168D" w:rsidRDefault="00815E42" w:rsidP="0082168D">
      <w:pPr>
        <w:rPr>
          <w:rFonts w:ascii="Helvetica" w:hAnsi="Helvetica" w:cs="Arial"/>
          <w:b/>
          <w:bCs/>
          <w:color w:val="000000" w:themeColor="text1"/>
          <w:sz w:val="32"/>
          <w:lang w:val="en-GB"/>
        </w:rPr>
      </w:pPr>
      <w:r w:rsidRPr="0082168D">
        <w:rPr>
          <w:rFonts w:ascii="Helvetica" w:hAnsi="Helvetica" w:cs="Arial"/>
          <w:b/>
          <w:bCs/>
          <w:color w:val="000000" w:themeColor="text1"/>
          <w:sz w:val="32"/>
          <w:lang w:val="en-GB"/>
        </w:rPr>
        <w:br w:type="page"/>
      </w:r>
    </w:p>
    <w:p w14:paraId="0F846854" w14:textId="77777777" w:rsidR="0066139A" w:rsidRPr="004B385C" w:rsidRDefault="0066139A" w:rsidP="0066139A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3D0722A9" wp14:editId="55C97EEA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85C">
        <w:rPr>
          <w:b/>
          <w:sz w:val="28"/>
          <w:lang w:val="fr-CA"/>
        </w:rPr>
        <w:t xml:space="preserve">Domaine d’apprentissage : FRANÇAIS LANGUE </w:t>
      </w:r>
      <w:r>
        <w:rPr>
          <w:b/>
          <w:sz w:val="28"/>
          <w:lang w:val="fr-CA"/>
        </w:rPr>
        <w:t>SECONDE – Immersion</w:t>
      </w:r>
      <w:r w:rsidRPr="004B385C">
        <w:rPr>
          <w:b/>
          <w:sz w:val="28"/>
          <w:lang w:val="fr-CA"/>
        </w:rPr>
        <w:t xml:space="preserve"> — </w:t>
      </w:r>
      <w:r w:rsidRPr="004B385C">
        <w:rPr>
          <w:b/>
          <w:sz w:val="28"/>
          <w:lang w:val="fr-CA"/>
        </w:rPr>
        <w:br/>
      </w:r>
      <w:r>
        <w:rPr>
          <w:b/>
          <w:bCs/>
          <w:sz w:val="28"/>
          <w:szCs w:val="28"/>
          <w:lang w:val="fr-FR"/>
        </w:rPr>
        <w:tab/>
      </w:r>
      <w:r w:rsidRPr="000D3253">
        <w:rPr>
          <w:b/>
          <w:bCs/>
          <w:sz w:val="28"/>
          <w:szCs w:val="28"/>
          <w:lang w:val="fr-FR"/>
        </w:rPr>
        <w:t>Communication orale</w:t>
      </w:r>
      <w:r w:rsidRPr="004B385C">
        <w:rPr>
          <w:b/>
          <w:sz w:val="28"/>
          <w:lang w:val="fr-CA"/>
        </w:rPr>
        <w:tab/>
      </w:r>
      <w:r w:rsidRPr="004B385C">
        <w:rPr>
          <w:b/>
          <w:bCs/>
          <w:sz w:val="28"/>
          <w:szCs w:val="28"/>
          <w:lang w:val="fr-CA"/>
        </w:rPr>
        <w:t>1</w:t>
      </w:r>
      <w:r>
        <w:rPr>
          <w:b/>
          <w:bCs/>
          <w:sz w:val="28"/>
          <w:szCs w:val="28"/>
          <w:lang w:val="fr-CA"/>
        </w:rPr>
        <w:t>1</w:t>
      </w:r>
      <w:r w:rsidRPr="004B385C">
        <w:rPr>
          <w:b/>
          <w:bCs/>
          <w:position w:val="6"/>
          <w:sz w:val="20"/>
          <w:szCs w:val="20"/>
          <w:lang w:val="fr-CA"/>
        </w:rPr>
        <w:t>e</w:t>
      </w:r>
      <w:r w:rsidRPr="004B385C">
        <w:rPr>
          <w:b/>
          <w:bCs/>
          <w:sz w:val="28"/>
          <w:szCs w:val="28"/>
          <w:lang w:val="fr-CA"/>
        </w:rPr>
        <w:t xml:space="preserve"> année</w:t>
      </w:r>
    </w:p>
    <w:p w14:paraId="65A3191C" w14:textId="77777777" w:rsidR="0066139A" w:rsidRPr="004B385C" w:rsidRDefault="0066139A" w:rsidP="0066139A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5661E3BC" w14:textId="375EB5E0" w:rsidR="00123905" w:rsidRPr="0082168D" w:rsidRDefault="00CA564F" w:rsidP="0082168D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4B385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248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0"/>
        <w:gridCol w:w="240"/>
        <w:gridCol w:w="2640"/>
        <w:gridCol w:w="240"/>
        <w:gridCol w:w="2400"/>
        <w:gridCol w:w="240"/>
        <w:gridCol w:w="2160"/>
        <w:gridCol w:w="240"/>
        <w:gridCol w:w="1560"/>
      </w:tblGrid>
      <w:tr w:rsidR="00CA564F" w:rsidRPr="0082168D" w14:paraId="4CA59F1C" w14:textId="66C42235" w:rsidTr="0066139A">
        <w:trPr>
          <w:jc w:val="center"/>
        </w:trPr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BCA94C9" w:rsidR="00CA564F" w:rsidRPr="0082168D" w:rsidRDefault="00CA564F" w:rsidP="000D325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Les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variations langagières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 offrent des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repères culturels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 xml:space="preserve"> au sein de la </w:t>
            </w:r>
            <w:r w:rsidRPr="0076430A">
              <w:rPr>
                <w:rFonts w:ascii="Helvetica" w:hAnsi="Helvetica" w:cs="Arial"/>
                <w:b/>
                <w:szCs w:val="20"/>
                <w:lang w:val="fr-FR"/>
              </w:rPr>
              <w:t>diversité francophone</w:t>
            </w:r>
            <w:r w:rsidRPr="0076430A">
              <w:rPr>
                <w:rFonts w:ascii="Helvetica" w:hAnsi="Helvetica" w:cs="Arial"/>
                <w:szCs w:val="20"/>
                <w:lang w:val="fr-FR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CA564F" w:rsidRPr="0082168D" w:rsidRDefault="00CA564F" w:rsidP="0082168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5B8693B" w:rsidR="00CA564F" w:rsidRPr="0082168D" w:rsidRDefault="00CA564F" w:rsidP="0082168D">
            <w:pPr>
              <w:pStyle w:val="Tablestyle1"/>
              <w:rPr>
                <w:rFonts w:cs="Arial"/>
                <w:lang w:val="en-GB"/>
              </w:rPr>
            </w:pPr>
            <w:r w:rsidRPr="0076430A">
              <w:rPr>
                <w:rFonts w:ascii="Helvetica" w:eastAsiaTheme="minorHAnsi" w:hAnsi="Helvetica" w:cs="Arial"/>
                <w:szCs w:val="20"/>
                <w:lang w:val="fr-FR"/>
              </w:rPr>
              <w:t xml:space="preserve">Le vécu, la culture </w:t>
            </w:r>
            <w:r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76430A">
              <w:rPr>
                <w:rFonts w:ascii="Helvetica" w:eastAsiaTheme="minorHAnsi" w:hAnsi="Helvetica" w:cs="Arial"/>
                <w:szCs w:val="20"/>
                <w:lang w:val="fr-FR"/>
              </w:rPr>
              <w:t xml:space="preserve">et le </w:t>
            </w:r>
            <w:r w:rsidRPr="0076430A">
              <w:rPr>
                <w:rFonts w:ascii="Helvetica" w:eastAsiaTheme="minorHAnsi" w:hAnsi="Helvetica" w:cs="Arial"/>
                <w:b/>
                <w:szCs w:val="20"/>
                <w:lang w:val="fr-FR"/>
              </w:rPr>
              <w:t>contexte</w:t>
            </w:r>
            <w:r w:rsidRPr="0076430A">
              <w:rPr>
                <w:rFonts w:ascii="Helvetica" w:eastAsiaTheme="minorHAnsi" w:hAnsi="Helvetica" w:cs="Arial"/>
                <w:szCs w:val="20"/>
                <w:lang w:val="fr-FR"/>
              </w:rPr>
              <w:t xml:space="preserve"> actuel </w:t>
            </w:r>
            <w:r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76430A">
              <w:rPr>
                <w:rFonts w:ascii="Helvetica" w:eastAsiaTheme="minorHAnsi" w:hAnsi="Helvetica" w:cs="Arial"/>
                <w:szCs w:val="20"/>
                <w:lang w:val="fr-FR"/>
              </w:rPr>
              <w:t xml:space="preserve">du destinataire influencent l'interprétation d’un </w:t>
            </w:r>
            <w:r w:rsidRPr="0076430A">
              <w:rPr>
                <w:rFonts w:ascii="Helvetica" w:eastAsiaTheme="minorHAnsi" w:hAnsi="Helvetica" w:cs="Arial"/>
                <w:b/>
                <w:szCs w:val="20"/>
                <w:lang w:val="fr-FR"/>
              </w:rPr>
              <w:t>texte</w:t>
            </w:r>
            <w:r w:rsidRPr="0076430A">
              <w:rPr>
                <w:rFonts w:ascii="Helvetica" w:eastAsiaTheme="minorHAnsi" w:hAnsi="Helvetica" w:cs="Arial"/>
                <w:szCs w:val="20"/>
                <w:lang w:val="fr-FR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CA564F" w:rsidRPr="0082168D" w:rsidRDefault="00CA564F" w:rsidP="0082168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850B111" w:rsidR="00CA564F" w:rsidRPr="0082168D" w:rsidRDefault="000D3253" w:rsidP="0082168D">
            <w:pPr>
              <w:pStyle w:val="Tablestyle1"/>
              <w:rPr>
                <w:rFonts w:cs="Arial"/>
                <w:lang w:val="en-GB"/>
              </w:rPr>
            </w:pPr>
            <w:r w:rsidRPr="00325535">
              <w:rPr>
                <w:rFonts w:ascii="Helvetica" w:hAnsi="Helvetica" w:cs="Arial"/>
                <w:szCs w:val="20"/>
                <w:lang w:val="fr-CA"/>
              </w:rPr>
              <w:t xml:space="preserve">L’identité linguistique </w:t>
            </w:r>
            <w:r>
              <w:rPr>
                <w:rFonts w:ascii="Helvetica" w:hAnsi="Helvetica" w:cs="Arial"/>
                <w:szCs w:val="20"/>
                <w:lang w:val="fr-CA"/>
              </w:rPr>
              <w:br/>
            </w:r>
            <w:r w:rsidRPr="00325535">
              <w:rPr>
                <w:rFonts w:ascii="Helvetica" w:hAnsi="Helvetica" w:cs="Arial"/>
                <w:szCs w:val="20"/>
                <w:lang w:val="fr-CA"/>
              </w:rPr>
              <w:t>et culturelle</w:t>
            </w:r>
            <w:r w:rsidRPr="00325535">
              <w:rPr>
                <w:rFonts w:ascii="Helvetica" w:hAnsi="Helvetica" w:cs="Arial"/>
                <w:b/>
                <w:color w:val="FF0000"/>
                <w:szCs w:val="20"/>
                <w:lang w:val="fr-CA"/>
              </w:rPr>
              <w:t xml:space="preserve"> </w:t>
            </w:r>
            <w:r w:rsidRPr="00325535">
              <w:rPr>
                <w:rFonts w:ascii="Helvetica" w:hAnsi="Helvetica" w:cs="Arial"/>
                <w:szCs w:val="20"/>
                <w:lang w:val="fr-CA"/>
              </w:rPr>
              <w:t>est façonnée par ce qu’on entend, voit, lit et écrit.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CA564F" w:rsidRPr="0082168D" w:rsidRDefault="00CA564F" w:rsidP="0082168D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15BABF7C" w:rsidR="00CA564F" w:rsidRPr="0082168D" w:rsidRDefault="000D3253" w:rsidP="0082168D">
            <w:pPr>
              <w:pStyle w:val="Tablestyle1"/>
              <w:rPr>
                <w:rFonts w:ascii="Helvetica" w:hAnsi="Helvetica"/>
                <w:szCs w:val="20"/>
              </w:rPr>
            </w:pPr>
            <w:r w:rsidRPr="00325535">
              <w:rPr>
                <w:rFonts w:ascii="Helvetica" w:hAnsi="Helvetica" w:cs="Arial"/>
                <w:szCs w:val="20"/>
                <w:lang w:val="fr-CA"/>
              </w:rPr>
              <w:t xml:space="preserve">Le message véhicule les </w:t>
            </w:r>
            <w:r w:rsidRPr="00325535">
              <w:rPr>
                <w:rFonts w:ascii="Helvetica" w:hAnsi="Helvetica" w:cs="Arial"/>
                <w:b/>
                <w:szCs w:val="20"/>
                <w:lang w:val="fr-CA"/>
              </w:rPr>
              <w:t xml:space="preserve">intentions </w:t>
            </w:r>
            <w:r>
              <w:rPr>
                <w:rFonts w:ascii="Helvetica" w:hAnsi="Helvetica" w:cs="Arial"/>
                <w:b/>
                <w:szCs w:val="20"/>
                <w:lang w:val="fr-CA"/>
              </w:rPr>
              <w:br/>
            </w:r>
            <w:r w:rsidRPr="00325535">
              <w:rPr>
                <w:rFonts w:ascii="Helvetica" w:hAnsi="Helvetica" w:cs="Arial"/>
                <w:b/>
                <w:szCs w:val="20"/>
                <w:lang w:val="fr-CA"/>
              </w:rPr>
              <w:t>du destinateur</w:t>
            </w:r>
            <w:r w:rsidRPr="00325535">
              <w:rPr>
                <w:rFonts w:ascii="Helvetica" w:hAnsi="Helvetica" w:cs="Arial"/>
                <w:szCs w:val="20"/>
                <w:lang w:val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613BE0" w14:textId="77777777" w:rsidR="00CA564F" w:rsidRPr="0076430A" w:rsidRDefault="00CA564F" w:rsidP="0082168D">
            <w:pPr>
              <w:pStyle w:val="Tablestyle1"/>
              <w:rPr>
                <w:rFonts w:ascii="Helvetica" w:hAnsi="Helvetica" w:cs="Arial"/>
                <w:szCs w:val="20"/>
                <w:lang w:val="fr-FR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42B413" w14:textId="0AA5BBC9" w:rsidR="00CA564F" w:rsidRPr="0076430A" w:rsidRDefault="000D3253" w:rsidP="0082168D">
            <w:pPr>
              <w:pStyle w:val="Tablestyle1"/>
              <w:rPr>
                <w:rFonts w:ascii="Helvetica" w:hAnsi="Helvetica" w:cs="Arial"/>
                <w:szCs w:val="20"/>
                <w:lang w:val="fr-FR"/>
              </w:rPr>
            </w:pPr>
            <w:r w:rsidRPr="00325535">
              <w:rPr>
                <w:rFonts w:ascii="Helvetica" w:hAnsi="Helvetica" w:cs="Arial"/>
                <w:szCs w:val="20"/>
                <w:lang w:val="fr-FR"/>
              </w:rPr>
              <w:t xml:space="preserve">La </w:t>
            </w:r>
            <w:r w:rsidRPr="00325535">
              <w:rPr>
                <w:rFonts w:ascii="Helvetica" w:hAnsi="Helvetica" w:cs="Arial"/>
                <w:b/>
                <w:szCs w:val="20"/>
                <w:lang w:val="fr-FR"/>
              </w:rPr>
              <w:t xml:space="preserve">voix </w:t>
            </w:r>
            <w:r w:rsidRPr="00325535">
              <w:rPr>
                <w:rFonts w:ascii="Helvetica" w:hAnsi="Helvetica" w:cs="Arial"/>
                <w:szCs w:val="20"/>
                <w:lang w:val="fr-FR"/>
              </w:rPr>
              <w:t xml:space="preserve">est puissante 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</w:r>
            <w:r w:rsidRPr="00325535">
              <w:rPr>
                <w:rFonts w:ascii="Helvetica" w:hAnsi="Helvetica" w:cs="Arial"/>
                <w:szCs w:val="20"/>
                <w:lang w:val="fr-FR"/>
              </w:rPr>
              <w:t>et évocatrice.</w:t>
            </w:r>
          </w:p>
        </w:tc>
      </w:tr>
    </w:tbl>
    <w:p w14:paraId="08D5E2A5" w14:textId="77777777" w:rsidR="00123905" w:rsidRPr="0082168D" w:rsidRDefault="00123905" w:rsidP="0082168D"/>
    <w:p w14:paraId="6513D803" w14:textId="28D9F2B9" w:rsidR="00F9586F" w:rsidRPr="0082168D" w:rsidRDefault="00CA564F" w:rsidP="0082168D">
      <w:pPr>
        <w:spacing w:after="160"/>
        <w:jc w:val="center"/>
        <w:outlineLvl w:val="0"/>
        <w:rPr>
          <w:sz w:val="28"/>
        </w:rPr>
      </w:pPr>
      <w:r w:rsidRPr="004B385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0D3253" w:rsidRPr="0082168D" w14:paraId="7C49560F" w14:textId="77777777" w:rsidTr="000D3253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856881B" w:rsidR="00F9586F" w:rsidRPr="0082168D" w:rsidRDefault="00CA564F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39F5503" w:rsidR="00F9586F" w:rsidRPr="0082168D" w:rsidRDefault="00CA564F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0D3253" w:rsidRPr="0082168D" w14:paraId="5149B766" w14:textId="77777777" w:rsidTr="000D3253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E922ADA" w:rsidR="00F9586F" w:rsidRPr="0082168D" w:rsidRDefault="00CA564F" w:rsidP="0082168D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L’élève acquerra ces compétences disciplinaires orales et écrites, en s’appuyant </w:t>
            </w:r>
            <w:r w:rsidR="00A92E1B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br/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sur des </w:t>
            </w:r>
            <w:r w:rsidRPr="00CA564F">
              <w:rPr>
                <w:rFonts w:ascii="Helvetica" w:hAnsi="Helvetica" w:cs="Arial"/>
                <w:b/>
                <w:i/>
                <w:sz w:val="20"/>
                <w:szCs w:val="20"/>
                <w:lang w:val="fr-CA"/>
              </w:rPr>
              <w:t>supports</w:t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 oraux, écrits et visuels</w:t>
            </w:r>
            <w:r w:rsidRPr="0076430A">
              <w:rPr>
                <w:rFonts w:ascii="Helvetica" w:hAnsi="Helvetica" w:cs="Arial"/>
                <w:sz w:val="20"/>
                <w:szCs w:val="20"/>
                <w:lang w:val="fr-CA"/>
              </w:rPr>
              <w:t>.</w:t>
            </w:r>
          </w:p>
          <w:p w14:paraId="5BB32ECC" w14:textId="36440F65" w:rsidR="0098762D" w:rsidRPr="0082168D" w:rsidRDefault="00CA564F" w:rsidP="0082168D">
            <w:pPr>
              <w:pStyle w:val="Topic"/>
              <w:contextualSpacing w:val="0"/>
            </w:pPr>
            <w:r w:rsidRPr="0076430A">
              <w:rPr>
                <w:rFonts w:cs="Arial"/>
                <w:bCs/>
                <w:iCs/>
                <w:szCs w:val="20"/>
                <w:lang w:val="fr-CA"/>
              </w:rPr>
              <w:t>Explorer et réfléchir </w:t>
            </w:r>
          </w:p>
          <w:p w14:paraId="3C0D0F25" w14:textId="77777777" w:rsidR="000D3253" w:rsidRPr="00325535" w:rsidRDefault="000D3253" w:rsidP="000D3253">
            <w:pPr>
              <w:pStyle w:val="ListParagraph"/>
              <w:rPr>
                <w:b/>
              </w:rPr>
            </w:pPr>
            <w:r w:rsidRPr="00325535">
              <w:t xml:space="preserve">Utiliser ses connaissances langagières et culturelles dans le but de révéler son </w:t>
            </w:r>
            <w:r w:rsidRPr="00325535">
              <w:rPr>
                <w:b/>
              </w:rPr>
              <w:t>identité</w:t>
            </w:r>
            <w:r w:rsidRPr="00325535">
              <w:t xml:space="preserve"> au sein de la francophonie</w:t>
            </w:r>
          </w:p>
          <w:p w14:paraId="5C0ADD00" w14:textId="77777777" w:rsidR="000D3253" w:rsidRPr="00325535" w:rsidRDefault="000D3253" w:rsidP="000D3253">
            <w:pPr>
              <w:pStyle w:val="ListParagraph"/>
            </w:pPr>
            <w:r w:rsidRPr="00325535">
              <w:t>Interpréter un</w:t>
            </w:r>
            <w:r w:rsidRPr="00325535">
              <w:rPr>
                <w:b/>
              </w:rPr>
              <w:t xml:space="preserve"> </w:t>
            </w:r>
            <w:r w:rsidRPr="00325535">
              <w:t>texte pour en dégager les</w:t>
            </w:r>
            <w:r w:rsidRPr="00325535">
              <w:rPr>
                <w:b/>
              </w:rPr>
              <w:t xml:space="preserve"> </w:t>
            </w:r>
            <w:r w:rsidRPr="00325535">
              <w:t>messages implicites et explicites</w:t>
            </w:r>
          </w:p>
          <w:p w14:paraId="27CD2BAF" w14:textId="7890E8DC" w:rsidR="000D3253" w:rsidRPr="00325535" w:rsidRDefault="000D3253" w:rsidP="000D3253">
            <w:pPr>
              <w:pStyle w:val="ListParagraph"/>
            </w:pPr>
            <w:r w:rsidRPr="00325535">
              <w:rPr>
                <w:b/>
              </w:rPr>
              <w:t>Saisir</w:t>
            </w:r>
            <w:r w:rsidRPr="00325535">
              <w:t xml:space="preserve"> l’influence et l’importance des </w:t>
            </w:r>
            <w:r w:rsidRPr="00325535">
              <w:rPr>
                <w:b/>
              </w:rPr>
              <w:t xml:space="preserve">contextes sociaux, historiques et culturels </w:t>
            </w:r>
            <w:r>
              <w:rPr>
                <w:b/>
              </w:rPr>
              <w:br/>
            </w:r>
            <w:r w:rsidRPr="00325535">
              <w:t xml:space="preserve">sur la façon de </w:t>
            </w:r>
            <w:r w:rsidRPr="00325535">
              <w:rPr>
                <w:b/>
              </w:rPr>
              <w:t>traiter</w:t>
            </w:r>
            <w:r w:rsidRPr="00325535">
              <w:t xml:space="preserve"> les </w:t>
            </w:r>
            <w:r w:rsidRPr="00325535">
              <w:rPr>
                <w:b/>
              </w:rPr>
              <w:t>textes</w:t>
            </w:r>
          </w:p>
          <w:p w14:paraId="05119485" w14:textId="0AB35C2D" w:rsidR="000D3253" w:rsidRPr="00325535" w:rsidRDefault="000D3253" w:rsidP="000D3253">
            <w:pPr>
              <w:pStyle w:val="ListParagraph"/>
              <w:rPr>
                <w:b/>
              </w:rPr>
            </w:pPr>
            <w:r w:rsidRPr="00325535">
              <w:rPr>
                <w:b/>
              </w:rPr>
              <w:t xml:space="preserve">S’impliquer avec des personnes ou avoir des expériences de vie au sein </w:t>
            </w:r>
            <w:r w:rsidR="0066139A">
              <w:rPr>
                <w:b/>
              </w:rPr>
              <w:br/>
            </w:r>
            <w:r w:rsidRPr="00325535">
              <w:rPr>
                <w:b/>
              </w:rPr>
              <w:t>du monde francophone</w:t>
            </w:r>
          </w:p>
          <w:p w14:paraId="0E7B71C9" w14:textId="6A4245E4" w:rsidR="000D3253" w:rsidRPr="00325535" w:rsidRDefault="000D3253" w:rsidP="000D3253">
            <w:pPr>
              <w:pStyle w:val="ListParagraph"/>
            </w:pPr>
            <w:r w:rsidRPr="00325535">
              <w:t xml:space="preserve">Examiner les divers points de vue dans les cultures francophones et celles </w:t>
            </w:r>
            <w:r>
              <w:br/>
            </w:r>
            <w:r w:rsidRPr="00325535">
              <w:t>des peuples autochtones</w:t>
            </w:r>
          </w:p>
          <w:p w14:paraId="30C8D9BA" w14:textId="0B803358" w:rsidR="000D3253" w:rsidRPr="00325535" w:rsidRDefault="000D3253" w:rsidP="000D3253">
            <w:pPr>
              <w:pStyle w:val="ListParagraph"/>
            </w:pPr>
            <w:r w:rsidRPr="00325535">
              <w:t>Examiner les</w:t>
            </w:r>
            <w:r w:rsidRPr="00325535">
              <w:rPr>
                <w:b/>
              </w:rPr>
              <w:t xml:space="preserve"> rôles du récit</w:t>
            </w:r>
            <w:r w:rsidRPr="00325535">
              <w:t xml:space="preserve"> </w:t>
            </w:r>
            <w:r w:rsidRPr="00325535">
              <w:rPr>
                <w:b/>
              </w:rPr>
              <w:t>et de la</w:t>
            </w:r>
            <w:r w:rsidRPr="00325535">
              <w:t xml:space="preserve"> </w:t>
            </w:r>
            <w:r w:rsidRPr="00325535">
              <w:rPr>
                <w:b/>
              </w:rPr>
              <w:t>tradition orale</w:t>
            </w:r>
            <w:r w:rsidRPr="00325535">
              <w:t xml:space="preserve"> dans des cultures francophones </w:t>
            </w:r>
            <w:r>
              <w:br/>
            </w:r>
            <w:r w:rsidRPr="00325535">
              <w:t>et celles des peuples autochtones</w:t>
            </w:r>
          </w:p>
          <w:p w14:paraId="245586C5" w14:textId="503E5F94" w:rsidR="000D3253" w:rsidRPr="00325535" w:rsidRDefault="000D3253" w:rsidP="000D3253">
            <w:pPr>
              <w:pStyle w:val="ListParagraph"/>
            </w:pPr>
            <w:r w:rsidRPr="00325535">
              <w:rPr>
                <w:rFonts w:eastAsiaTheme="minorHAnsi"/>
              </w:rPr>
              <w:t xml:space="preserve">Comparer ses propres valeurs et son point de vue à ceux qui sont exprimés </w:t>
            </w:r>
            <w:r>
              <w:rPr>
                <w:rFonts w:eastAsiaTheme="minorHAnsi"/>
              </w:rPr>
              <w:br/>
            </w:r>
            <w:r w:rsidRPr="00325535">
              <w:rPr>
                <w:rFonts w:eastAsiaTheme="minorHAnsi"/>
              </w:rPr>
              <w:t>dans un texte afin de remettre en question son opinion</w:t>
            </w:r>
          </w:p>
          <w:p w14:paraId="001FF103" w14:textId="77777777" w:rsidR="000D3253" w:rsidRPr="00325535" w:rsidRDefault="000D3253" w:rsidP="000D3253">
            <w:pPr>
              <w:pStyle w:val="ListParagraph"/>
            </w:pPr>
            <w:r w:rsidRPr="00325535">
              <w:t>Distinguer</w:t>
            </w:r>
            <w:r w:rsidRPr="00325535">
              <w:rPr>
                <w:color w:val="00B050"/>
              </w:rPr>
              <w:t xml:space="preserve"> </w:t>
            </w:r>
            <w:r w:rsidRPr="00325535">
              <w:t>le type et l’</w:t>
            </w:r>
            <w:r w:rsidRPr="00325535">
              <w:rPr>
                <w:b/>
              </w:rPr>
              <w:t>intention</w:t>
            </w:r>
            <w:r w:rsidRPr="00325535">
              <w:t xml:space="preserve"> des textes</w:t>
            </w:r>
          </w:p>
          <w:p w14:paraId="646DB177" w14:textId="77777777" w:rsidR="000D3253" w:rsidRPr="00325535" w:rsidRDefault="000D3253" w:rsidP="000D3253">
            <w:pPr>
              <w:pStyle w:val="ListParagraph"/>
            </w:pPr>
            <w:r w:rsidRPr="00325535">
              <w:rPr>
                <w:b/>
              </w:rPr>
              <w:t>Développer un esprit critique</w:t>
            </w:r>
            <w:r w:rsidRPr="00325535">
              <w:t>, clair et cohérent face aux textes à l’étude</w:t>
            </w:r>
          </w:p>
          <w:p w14:paraId="5F3E16F8" w14:textId="77777777" w:rsidR="000D3253" w:rsidRPr="00325535" w:rsidRDefault="000D3253" w:rsidP="000D3253">
            <w:pPr>
              <w:pStyle w:val="ListParagraph"/>
            </w:pPr>
            <w:r w:rsidRPr="00325535">
              <w:t>Évaluer l’acquisition de nouvelles connaissances par rapport à un texte</w:t>
            </w:r>
          </w:p>
          <w:p w14:paraId="61D86295" w14:textId="6CE328AC" w:rsidR="001E4682" w:rsidRPr="00CA564F" w:rsidRDefault="000D3253" w:rsidP="000D3253">
            <w:pPr>
              <w:pStyle w:val="ListParagraph"/>
            </w:pPr>
            <w:r w:rsidRPr="00325535">
              <w:t xml:space="preserve">Saisir l’importance des </w:t>
            </w:r>
            <w:r w:rsidRPr="00325535">
              <w:rPr>
                <w:b/>
              </w:rPr>
              <w:t>contextes sociaux et culturels</w:t>
            </w:r>
            <w:r w:rsidRPr="00325535">
              <w:t xml:space="preserve"> pour communiquer à l’oral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0E11307" w:rsidR="00E87A9D" w:rsidRPr="00CA564F" w:rsidRDefault="00CA564F" w:rsidP="0082168D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L’élève connaîtra et comprendra dans divers </w:t>
            </w:r>
            <w:r w:rsidRPr="00CA564F">
              <w:rPr>
                <w:rFonts w:ascii="Helvetica" w:hAnsi="Helvetica" w:cs="Arial"/>
                <w:b/>
                <w:i/>
                <w:sz w:val="20"/>
                <w:szCs w:val="20"/>
                <w:lang w:val="fr-CA"/>
              </w:rPr>
              <w:t>contextes</w:t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>, le contenu ci-dessous :</w:t>
            </w:r>
          </w:p>
          <w:p w14:paraId="352C102D" w14:textId="77777777" w:rsidR="000D3253" w:rsidRPr="00325535" w:rsidRDefault="000D3253" w:rsidP="000D3253">
            <w:pPr>
              <w:pStyle w:val="ListParagraph"/>
            </w:pPr>
            <w:r w:rsidRPr="00325535">
              <w:t xml:space="preserve">Stratégies de communication </w:t>
            </w:r>
          </w:p>
          <w:p w14:paraId="767570CD" w14:textId="77777777" w:rsidR="000D3253" w:rsidRPr="00325535" w:rsidRDefault="000D3253" w:rsidP="000D3253">
            <w:pPr>
              <w:pStyle w:val="ListParagraphindent"/>
            </w:pPr>
            <w:r w:rsidRPr="00325535">
              <w:t xml:space="preserve">les </w:t>
            </w:r>
            <w:r w:rsidRPr="000D3253">
              <w:rPr>
                <w:b/>
              </w:rPr>
              <w:t>registres de langue</w:t>
            </w:r>
          </w:p>
          <w:p w14:paraId="12755C3D" w14:textId="77777777" w:rsidR="000D3253" w:rsidRPr="00325535" w:rsidRDefault="000D3253" w:rsidP="000D3253">
            <w:pPr>
              <w:pStyle w:val="ListParagraphindent"/>
            </w:pPr>
            <w:r w:rsidRPr="00325535">
              <w:t>l’</w:t>
            </w:r>
            <w:r w:rsidRPr="000D3253">
              <w:rPr>
                <w:b/>
              </w:rPr>
              <w:t>argumentation</w:t>
            </w:r>
          </w:p>
          <w:p w14:paraId="3B605C10" w14:textId="77777777" w:rsidR="000D3253" w:rsidRPr="00325535" w:rsidRDefault="000D3253" w:rsidP="000D3253">
            <w:pPr>
              <w:pStyle w:val="ListParagraphindent"/>
            </w:pPr>
            <w:r w:rsidRPr="00325535">
              <w:t>la prise de parole</w:t>
            </w:r>
          </w:p>
          <w:p w14:paraId="7AB8ABB9" w14:textId="77777777" w:rsidR="000D3253" w:rsidRPr="00325535" w:rsidRDefault="000D3253" w:rsidP="000D3253">
            <w:pPr>
              <w:pStyle w:val="ListParagraphindent"/>
            </w:pPr>
            <w:r w:rsidRPr="00325535">
              <w:t xml:space="preserve">les </w:t>
            </w:r>
            <w:r w:rsidRPr="000D3253">
              <w:rPr>
                <w:b/>
              </w:rPr>
              <w:t>formules de politesse</w:t>
            </w:r>
          </w:p>
          <w:p w14:paraId="19A0D737" w14:textId="77777777" w:rsidR="000D3253" w:rsidRPr="00325535" w:rsidRDefault="000D3253" w:rsidP="000D3253">
            <w:pPr>
              <w:pStyle w:val="ListParagraphindent"/>
            </w:pPr>
            <w:r w:rsidRPr="00325535">
              <w:t xml:space="preserve">le </w:t>
            </w:r>
            <w:r w:rsidRPr="000D3253">
              <w:rPr>
                <w:b/>
              </w:rPr>
              <w:t>verbal</w:t>
            </w:r>
            <w:r w:rsidRPr="00325535">
              <w:t xml:space="preserve"> et le </w:t>
            </w:r>
            <w:r w:rsidRPr="000D3253">
              <w:rPr>
                <w:b/>
              </w:rPr>
              <w:t>non-verbal</w:t>
            </w:r>
          </w:p>
          <w:p w14:paraId="4A6D07F6" w14:textId="77777777" w:rsidR="000D3253" w:rsidRPr="00325535" w:rsidRDefault="000D3253" w:rsidP="004F4B91">
            <w:pPr>
              <w:pStyle w:val="ListParagraphindent"/>
              <w:spacing w:after="60"/>
            </w:pPr>
            <w:r w:rsidRPr="00325535">
              <w:t>l’</w:t>
            </w:r>
            <w:r w:rsidRPr="000D3253">
              <w:rPr>
                <w:b/>
              </w:rPr>
              <w:t>écoute active</w:t>
            </w:r>
          </w:p>
          <w:p w14:paraId="53D73DEF" w14:textId="77777777" w:rsidR="000D3253" w:rsidRPr="00325535" w:rsidRDefault="000D3253" w:rsidP="000D3253">
            <w:pPr>
              <w:pStyle w:val="ListParagraph"/>
            </w:pPr>
            <w:r w:rsidRPr="00325535">
              <w:t>Éléments sociaux, historiques et culturels</w:t>
            </w:r>
          </w:p>
          <w:p w14:paraId="036FE44D" w14:textId="77777777" w:rsidR="000D3253" w:rsidRPr="00325535" w:rsidRDefault="000D3253" w:rsidP="004F4B91">
            <w:pPr>
              <w:pStyle w:val="ListParagraphindent"/>
              <w:spacing w:after="60"/>
            </w:pPr>
            <w:r w:rsidRPr="00325535">
              <w:t xml:space="preserve">les </w:t>
            </w:r>
            <w:r w:rsidRPr="000D3253">
              <w:rPr>
                <w:b/>
              </w:rPr>
              <w:t>protocoles liés à l’utilisation des récits des peuples autochtones</w:t>
            </w:r>
          </w:p>
          <w:p w14:paraId="769615B7" w14:textId="77777777" w:rsidR="000D3253" w:rsidRPr="00325535" w:rsidRDefault="000D3253" w:rsidP="000D3253">
            <w:pPr>
              <w:pStyle w:val="ListParagraph"/>
            </w:pPr>
            <w:r w:rsidRPr="00325535">
              <w:t xml:space="preserve">Outils littéraires </w:t>
            </w:r>
          </w:p>
          <w:p w14:paraId="76CC1313" w14:textId="77777777" w:rsidR="000D3253" w:rsidRPr="00325535" w:rsidRDefault="000D3253" w:rsidP="000D3253">
            <w:pPr>
              <w:pStyle w:val="ListParagraphindent"/>
            </w:pPr>
            <w:r w:rsidRPr="00325535">
              <w:t xml:space="preserve">les </w:t>
            </w:r>
            <w:r w:rsidRPr="000D3253">
              <w:rPr>
                <w:b/>
              </w:rPr>
              <w:t>figures de style</w:t>
            </w:r>
          </w:p>
          <w:p w14:paraId="0E04BB03" w14:textId="77777777" w:rsidR="000D3253" w:rsidRPr="00325535" w:rsidRDefault="000D3253" w:rsidP="000D3253">
            <w:pPr>
              <w:pStyle w:val="ListParagraphindent"/>
            </w:pPr>
            <w:r w:rsidRPr="00325535">
              <w:t xml:space="preserve">le </w:t>
            </w:r>
            <w:r w:rsidRPr="000D3253">
              <w:rPr>
                <w:b/>
              </w:rPr>
              <w:t>champ lexical</w:t>
            </w:r>
          </w:p>
          <w:p w14:paraId="66872659" w14:textId="77777777" w:rsidR="000D3253" w:rsidRPr="00325535" w:rsidRDefault="000D3253" w:rsidP="000D3253">
            <w:pPr>
              <w:pStyle w:val="ListParagraphindent"/>
            </w:pPr>
            <w:r w:rsidRPr="00325535">
              <w:t xml:space="preserve">les </w:t>
            </w:r>
            <w:r w:rsidRPr="000D3253">
              <w:rPr>
                <w:b/>
              </w:rPr>
              <w:t>expressions</w:t>
            </w:r>
          </w:p>
          <w:p w14:paraId="69D71060" w14:textId="77777777" w:rsidR="000D3253" w:rsidRPr="00325535" w:rsidRDefault="000D3253" w:rsidP="004F4B91">
            <w:pPr>
              <w:pStyle w:val="ListParagraphindent"/>
              <w:spacing w:after="60"/>
            </w:pPr>
            <w:r w:rsidRPr="00325535">
              <w:t xml:space="preserve">les </w:t>
            </w:r>
            <w:r w:rsidRPr="000D3253">
              <w:rPr>
                <w:b/>
              </w:rPr>
              <w:t>éléments de la tradition orale</w:t>
            </w:r>
          </w:p>
          <w:p w14:paraId="7A9C303A" w14:textId="77777777" w:rsidR="000D3253" w:rsidRPr="00325535" w:rsidRDefault="000D3253" w:rsidP="000D3253">
            <w:pPr>
              <w:pStyle w:val="ListParagraph"/>
            </w:pPr>
            <w:r w:rsidRPr="00325535">
              <w:t>Organisation textuelle</w:t>
            </w:r>
          </w:p>
          <w:p w14:paraId="54F31CDA" w14:textId="77777777" w:rsidR="000D3253" w:rsidRPr="00325535" w:rsidRDefault="000D3253" w:rsidP="000D3253">
            <w:pPr>
              <w:pStyle w:val="ListParagraphindent"/>
            </w:pPr>
            <w:r w:rsidRPr="00325535">
              <w:t xml:space="preserve">l’organisation textuelle des </w:t>
            </w:r>
            <w:r w:rsidRPr="00325535">
              <w:rPr>
                <w:b/>
              </w:rPr>
              <w:t>textes à l’étude</w:t>
            </w:r>
          </w:p>
          <w:p w14:paraId="03C90176" w14:textId="33199C60" w:rsidR="00F82197" w:rsidRPr="00CA564F" w:rsidRDefault="000D3253" w:rsidP="000D3253">
            <w:pPr>
              <w:pStyle w:val="ListParagraphindent"/>
              <w:spacing w:after="120"/>
            </w:pPr>
            <w:r w:rsidRPr="00325535">
              <w:t xml:space="preserve">le </w:t>
            </w:r>
            <w:r w:rsidRPr="00325535">
              <w:rPr>
                <w:b/>
              </w:rPr>
              <w:t>texte argumentatif</w:t>
            </w:r>
          </w:p>
        </w:tc>
      </w:tr>
    </w:tbl>
    <w:p w14:paraId="4D20F944" w14:textId="77777777" w:rsidR="0066139A" w:rsidRPr="004B385C" w:rsidRDefault="0018557D" w:rsidP="0066139A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82168D">
        <w:br w:type="page"/>
      </w:r>
      <w:r w:rsidR="0066139A" w:rsidRPr="004B385C">
        <w:rPr>
          <w:noProof/>
          <w:szCs w:val="20"/>
        </w:rPr>
        <w:lastRenderedPageBreak/>
        <w:drawing>
          <wp:anchor distT="0" distB="0" distL="114300" distR="114300" simplePos="0" relativeHeight="251675136" behindDoc="0" locked="0" layoutInCell="1" allowOverlap="1" wp14:anchorId="0AAF34F1" wp14:editId="7E8EAB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39A" w:rsidRPr="004B385C">
        <w:rPr>
          <w:b/>
          <w:sz w:val="28"/>
          <w:lang w:val="fr-CA"/>
        </w:rPr>
        <w:t xml:space="preserve">Domaine d’apprentissage : FRANÇAIS LANGUE </w:t>
      </w:r>
      <w:r w:rsidR="0066139A">
        <w:rPr>
          <w:b/>
          <w:sz w:val="28"/>
          <w:lang w:val="fr-CA"/>
        </w:rPr>
        <w:t>SECONDE – Immersion</w:t>
      </w:r>
      <w:r w:rsidR="0066139A" w:rsidRPr="004B385C">
        <w:rPr>
          <w:b/>
          <w:sz w:val="28"/>
          <w:lang w:val="fr-CA"/>
        </w:rPr>
        <w:t xml:space="preserve"> — </w:t>
      </w:r>
      <w:r w:rsidR="0066139A" w:rsidRPr="004B385C">
        <w:rPr>
          <w:b/>
          <w:sz w:val="28"/>
          <w:lang w:val="fr-CA"/>
        </w:rPr>
        <w:br/>
      </w:r>
      <w:r w:rsidR="0066139A">
        <w:rPr>
          <w:b/>
          <w:bCs/>
          <w:sz w:val="28"/>
          <w:szCs w:val="28"/>
          <w:lang w:val="fr-FR"/>
        </w:rPr>
        <w:tab/>
      </w:r>
      <w:r w:rsidR="0066139A" w:rsidRPr="000D3253">
        <w:rPr>
          <w:b/>
          <w:bCs/>
          <w:sz w:val="28"/>
          <w:szCs w:val="28"/>
          <w:lang w:val="fr-FR"/>
        </w:rPr>
        <w:t>Communication orale</w:t>
      </w:r>
      <w:r w:rsidR="0066139A" w:rsidRPr="004B385C">
        <w:rPr>
          <w:b/>
          <w:sz w:val="28"/>
          <w:lang w:val="fr-CA"/>
        </w:rPr>
        <w:tab/>
      </w:r>
      <w:r w:rsidR="0066139A" w:rsidRPr="004B385C">
        <w:rPr>
          <w:b/>
          <w:bCs/>
          <w:sz w:val="28"/>
          <w:szCs w:val="28"/>
          <w:lang w:val="fr-CA"/>
        </w:rPr>
        <w:t>1</w:t>
      </w:r>
      <w:r w:rsidR="0066139A">
        <w:rPr>
          <w:b/>
          <w:bCs/>
          <w:sz w:val="28"/>
          <w:szCs w:val="28"/>
          <w:lang w:val="fr-CA"/>
        </w:rPr>
        <w:t>1</w:t>
      </w:r>
      <w:r w:rsidR="0066139A" w:rsidRPr="004B385C">
        <w:rPr>
          <w:b/>
          <w:bCs/>
          <w:position w:val="6"/>
          <w:sz w:val="20"/>
          <w:szCs w:val="20"/>
          <w:lang w:val="fr-CA"/>
        </w:rPr>
        <w:t>e</w:t>
      </w:r>
      <w:r w:rsidR="0066139A" w:rsidRPr="004B385C">
        <w:rPr>
          <w:b/>
          <w:bCs/>
          <w:sz w:val="28"/>
          <w:szCs w:val="28"/>
          <w:lang w:val="fr-CA"/>
        </w:rPr>
        <w:t xml:space="preserve"> année</w:t>
      </w:r>
    </w:p>
    <w:p w14:paraId="050778BA" w14:textId="77777777" w:rsidR="0066139A" w:rsidRPr="004B385C" w:rsidRDefault="0066139A" w:rsidP="0066139A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1658F336" w14:textId="3B231D1F" w:rsidR="0018557D" w:rsidRPr="0082168D" w:rsidRDefault="00C00ABB" w:rsidP="0066139A">
      <w:pPr>
        <w:tabs>
          <w:tab w:val="left" w:pos="4572"/>
          <w:tab w:val="right" w:pos="14232"/>
        </w:tabs>
        <w:spacing w:after="160"/>
        <w:jc w:val="center"/>
        <w:rPr>
          <w:sz w:val="28"/>
        </w:rPr>
      </w:pPr>
      <w:r w:rsidRPr="00B649C4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0"/>
        <w:gridCol w:w="5344"/>
      </w:tblGrid>
      <w:tr w:rsidR="000D3253" w:rsidRPr="0082168D" w14:paraId="2E2B08E1" w14:textId="77777777" w:rsidTr="000D3253"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B429A8C" w:rsidR="0018557D" w:rsidRPr="0082168D" w:rsidRDefault="00C00ABB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54EB99" w:rsidR="0018557D" w:rsidRPr="0082168D" w:rsidRDefault="0030194A" w:rsidP="0082168D">
            <w:pPr>
              <w:spacing w:before="60" w:after="60"/>
              <w:rPr>
                <w:b/>
                <w:color w:val="FFFFFF"/>
                <w:szCs w:val="22"/>
              </w:rPr>
            </w:pPr>
            <w:r w:rsidRPr="004B385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0D3253" w:rsidRPr="0082168D" w14:paraId="522264D9" w14:textId="77777777" w:rsidTr="000D3253">
        <w:trPr>
          <w:trHeight w:val="484"/>
        </w:trPr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37E59" w14:textId="77777777" w:rsidR="000D3253" w:rsidRPr="00325535" w:rsidRDefault="000D3253" w:rsidP="000D3253">
            <w:pPr>
              <w:pStyle w:val="Topic"/>
            </w:pPr>
            <w:r w:rsidRPr="00325535">
              <w:t xml:space="preserve">Créer et </w:t>
            </w:r>
            <w:r w:rsidRPr="000D3253">
              <w:t>communiquer</w:t>
            </w:r>
            <w:r w:rsidRPr="00325535">
              <w:t xml:space="preserve"> </w:t>
            </w:r>
          </w:p>
          <w:p w14:paraId="7CA32286" w14:textId="77777777" w:rsidR="000D3253" w:rsidRPr="00325535" w:rsidRDefault="000D3253" w:rsidP="000D3253">
            <w:pPr>
              <w:pStyle w:val="ListParagraph"/>
            </w:pPr>
            <w:r w:rsidRPr="00325535">
              <w:t xml:space="preserve">Communiquer en utilisant une variété d’expressions et de </w:t>
            </w:r>
            <w:r w:rsidRPr="00325535">
              <w:rPr>
                <w:b/>
              </w:rPr>
              <w:t>formats de présentation</w:t>
            </w:r>
            <w:r w:rsidRPr="00325535">
              <w:t xml:space="preserve"> selon le contexte</w:t>
            </w:r>
          </w:p>
          <w:p w14:paraId="19707B2C" w14:textId="77777777" w:rsidR="000D3253" w:rsidRPr="00325535" w:rsidRDefault="000D3253" w:rsidP="000D3253">
            <w:pPr>
              <w:pStyle w:val="ListParagraph"/>
              <w:rPr>
                <w:rFonts w:eastAsia="ArialMT"/>
                <w:lang w:val="fr-FR"/>
              </w:rPr>
            </w:pPr>
            <w:r w:rsidRPr="00325535">
              <w:rPr>
                <w:rFonts w:eastAsia="ArialMT"/>
                <w:lang w:val="fr-FR"/>
              </w:rPr>
              <w:t>Entretenir une discussion spontanée en partageant des idées pertinentes</w:t>
            </w:r>
          </w:p>
          <w:p w14:paraId="0B3210A4" w14:textId="77777777" w:rsidR="000D3253" w:rsidRPr="00325535" w:rsidRDefault="000D3253" w:rsidP="000D3253">
            <w:pPr>
              <w:pStyle w:val="ListParagraph"/>
            </w:pPr>
            <w:r w:rsidRPr="00325535">
              <w:rPr>
                <w:b/>
              </w:rPr>
              <w:t>Persuader</w:t>
            </w:r>
            <w:r w:rsidRPr="00325535">
              <w:t xml:space="preserve"> ou </w:t>
            </w:r>
            <w:r w:rsidRPr="00325535">
              <w:rPr>
                <w:b/>
              </w:rPr>
              <w:t>convaincre</w:t>
            </w:r>
            <w:r w:rsidRPr="00325535">
              <w:t xml:space="preserve"> son destinataire en employant les stratégies appropriées</w:t>
            </w:r>
          </w:p>
          <w:p w14:paraId="1AB52C43" w14:textId="77777777" w:rsidR="000D3253" w:rsidRPr="00325535" w:rsidRDefault="000D3253" w:rsidP="000D3253">
            <w:pPr>
              <w:pStyle w:val="ListParagraph"/>
            </w:pPr>
            <w:r w:rsidRPr="00325535">
              <w:rPr>
                <w:rFonts w:eastAsiaTheme="minorHAnsi"/>
                <w:b/>
              </w:rPr>
              <w:t>Paraphraser</w:t>
            </w:r>
            <w:r w:rsidRPr="00325535">
              <w:rPr>
                <w:rFonts w:eastAsiaTheme="minorHAnsi"/>
              </w:rPr>
              <w:t xml:space="preserve"> les idées et les informations recueillies dans un texte</w:t>
            </w:r>
          </w:p>
          <w:p w14:paraId="336FC129" w14:textId="77777777" w:rsidR="000D3253" w:rsidRPr="00325535" w:rsidRDefault="000D3253" w:rsidP="000D3253">
            <w:pPr>
              <w:pStyle w:val="ListParagraph"/>
            </w:pPr>
            <w:r w:rsidRPr="00325535">
              <w:rPr>
                <w:b/>
              </w:rPr>
              <w:t>Étayer</w:t>
            </w:r>
            <w:r w:rsidRPr="00325535">
              <w:t xml:space="preserve"> son message en s’appuyant sur des </w:t>
            </w:r>
            <w:r w:rsidRPr="00325535">
              <w:rPr>
                <w:b/>
              </w:rPr>
              <w:t>procédés</w:t>
            </w:r>
            <w:r w:rsidRPr="00325535">
              <w:t xml:space="preserve"> provenant de diverses sources  </w:t>
            </w:r>
          </w:p>
          <w:p w14:paraId="61520BEC" w14:textId="77777777" w:rsidR="000D3253" w:rsidRPr="00325535" w:rsidRDefault="000D3253" w:rsidP="000D3253">
            <w:pPr>
              <w:pStyle w:val="ListParagraph"/>
              <w:rPr>
                <w:lang w:val="fr-FR"/>
              </w:rPr>
            </w:pPr>
            <w:r w:rsidRPr="00325535">
              <w:rPr>
                <w:lang w:val="fr-FR"/>
              </w:rPr>
              <w:t>Adopter divers styles d’</w:t>
            </w:r>
            <w:r w:rsidRPr="00325535">
              <w:rPr>
                <w:b/>
                <w:lang w:val="fr-FR"/>
              </w:rPr>
              <w:t>élocution</w:t>
            </w:r>
            <w:r w:rsidRPr="00325535">
              <w:rPr>
                <w:lang w:val="fr-FR"/>
              </w:rPr>
              <w:t xml:space="preserve"> dans ses productions orales afin de créer l’effet désiré</w:t>
            </w:r>
          </w:p>
          <w:p w14:paraId="23A04842" w14:textId="77777777" w:rsidR="000D3253" w:rsidRPr="00325535" w:rsidRDefault="000D3253" w:rsidP="000D3253">
            <w:pPr>
              <w:pStyle w:val="ListParagraph"/>
              <w:rPr>
                <w:lang w:val="fr-FR"/>
              </w:rPr>
            </w:pPr>
            <w:r w:rsidRPr="00325535">
              <w:rPr>
                <w:lang w:val="fr-FR"/>
              </w:rPr>
              <w:t>Mettre en œuvre les procédés d’écoute active</w:t>
            </w:r>
          </w:p>
          <w:p w14:paraId="5700D88D" w14:textId="77777777" w:rsidR="000D3253" w:rsidRPr="00325535" w:rsidRDefault="000D3253" w:rsidP="000D3253">
            <w:pPr>
              <w:pStyle w:val="ListParagraph"/>
              <w:rPr>
                <w:lang w:val="fr-FR"/>
              </w:rPr>
            </w:pPr>
            <w:r w:rsidRPr="00325535">
              <w:rPr>
                <w:lang w:val="fr-FR"/>
              </w:rPr>
              <w:t>Exploiter le rôle du verbal et du non-verbal pour enrichir ses productions orales</w:t>
            </w:r>
          </w:p>
          <w:p w14:paraId="56808B7D" w14:textId="77777777" w:rsidR="000D3253" w:rsidRPr="00325535" w:rsidRDefault="000D3253" w:rsidP="000D3253">
            <w:pPr>
              <w:pStyle w:val="ListParagraph"/>
            </w:pPr>
            <w:r w:rsidRPr="00325535">
              <w:rPr>
                <w:rFonts w:eastAsiaTheme="minorEastAsia"/>
                <w:lang w:eastAsia="fr-FR"/>
              </w:rPr>
              <w:t>A</w:t>
            </w:r>
            <w:r w:rsidRPr="00325535">
              <w:rPr>
                <w:rFonts w:eastAsiaTheme="minorEastAsia"/>
                <w:lang w:val="fr-FR" w:eastAsia="fr-FR"/>
              </w:rPr>
              <w:t>ppliquer des stratégies appropriées dans une variété de contextes afin de comprendre et de produire un texte</w:t>
            </w:r>
          </w:p>
          <w:p w14:paraId="287E313D" w14:textId="46E0531C" w:rsidR="00707ADF" w:rsidRPr="0082168D" w:rsidRDefault="000D3253" w:rsidP="000D3253">
            <w:pPr>
              <w:pStyle w:val="ListParagraph"/>
              <w:spacing w:after="120"/>
            </w:pPr>
            <w:r w:rsidRPr="00325535">
              <w:rPr>
                <w:rFonts w:eastAsiaTheme="minorEastAsia"/>
                <w:lang w:val="fr-FR" w:eastAsia="fr-FR"/>
              </w:rPr>
              <w:t xml:space="preserve">Utiliser les </w:t>
            </w:r>
            <w:r w:rsidRPr="00325535">
              <w:rPr>
                <w:rFonts w:eastAsiaTheme="minorEastAsia"/>
                <w:b/>
                <w:lang w:val="fr-FR" w:eastAsia="fr-FR"/>
              </w:rPr>
              <w:t>processus d'écriture</w:t>
            </w:r>
            <w:r w:rsidRPr="00325535">
              <w:rPr>
                <w:rFonts w:eastAsiaTheme="minorEastAsia"/>
                <w:lang w:val="fr-FR" w:eastAsia="fr-FR"/>
              </w:rPr>
              <w:t xml:space="preserve"> et de conception pour planifier, développer et créer </w:t>
            </w:r>
            <w:r>
              <w:rPr>
                <w:rFonts w:eastAsiaTheme="minorEastAsia"/>
                <w:lang w:val="fr-FR" w:eastAsia="fr-FR"/>
              </w:rPr>
              <w:br/>
            </w:r>
            <w:r w:rsidRPr="00325535">
              <w:rPr>
                <w:rFonts w:eastAsiaTheme="minorEastAsia"/>
                <w:lang w:val="fr-FR" w:eastAsia="fr-FR"/>
              </w:rPr>
              <w:t>des interactions orales pour une variété d'objectifs et de publics</w:t>
            </w:r>
          </w:p>
        </w:tc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BB218" w14:textId="77777777" w:rsidR="000D3253" w:rsidRPr="00325535" w:rsidRDefault="000D3253" w:rsidP="000D3253">
            <w:pPr>
              <w:pStyle w:val="ListParagraph"/>
              <w:spacing w:before="120"/>
            </w:pPr>
            <w:r w:rsidRPr="00325535">
              <w:t>Outils langagiers</w:t>
            </w:r>
          </w:p>
          <w:p w14:paraId="69DC1211" w14:textId="77777777" w:rsidR="000D3253" w:rsidRPr="00325535" w:rsidRDefault="000D3253" w:rsidP="000D3253">
            <w:pPr>
              <w:pStyle w:val="ListParagraphindent"/>
            </w:pPr>
            <w:r w:rsidRPr="00325535">
              <w:t xml:space="preserve">la structure de la </w:t>
            </w:r>
            <w:r w:rsidRPr="000D3253">
              <w:rPr>
                <w:b/>
              </w:rPr>
              <w:t>phrase impersonnelle</w:t>
            </w:r>
          </w:p>
          <w:p w14:paraId="3AADFDBA" w14:textId="77777777" w:rsidR="000D3253" w:rsidRPr="00325535" w:rsidRDefault="000D3253" w:rsidP="004F4B91">
            <w:pPr>
              <w:pStyle w:val="ListParagraphindent"/>
              <w:spacing w:after="60"/>
            </w:pPr>
            <w:r w:rsidRPr="00325535">
              <w:t xml:space="preserve">les </w:t>
            </w:r>
            <w:r w:rsidRPr="000D3253">
              <w:rPr>
                <w:b/>
              </w:rPr>
              <w:t>modes et temps verbaux</w:t>
            </w:r>
          </w:p>
          <w:p w14:paraId="3FEBA375" w14:textId="77777777" w:rsidR="000D3253" w:rsidRPr="00325535" w:rsidRDefault="000D3253" w:rsidP="000D3253">
            <w:pPr>
              <w:pStyle w:val="ListParagraph"/>
            </w:pPr>
            <w:r w:rsidRPr="00325535">
              <w:rPr>
                <w:b/>
              </w:rPr>
              <w:t>Stratégies de révision</w:t>
            </w:r>
          </w:p>
          <w:p w14:paraId="4DEAA601" w14:textId="77777777" w:rsidR="000D3253" w:rsidRPr="00325535" w:rsidRDefault="000D3253" w:rsidP="000D3253">
            <w:pPr>
              <w:pStyle w:val="ListParagraph"/>
            </w:pPr>
            <w:r w:rsidRPr="00325535">
              <w:t>Outils d’enrichissement</w:t>
            </w:r>
          </w:p>
          <w:p w14:paraId="3DEF60C9" w14:textId="77777777" w:rsidR="000D3253" w:rsidRPr="00325535" w:rsidRDefault="000D3253" w:rsidP="000D3253">
            <w:pPr>
              <w:pStyle w:val="ListParagraphindent"/>
            </w:pPr>
            <w:r w:rsidRPr="00325535">
              <w:t xml:space="preserve">la </w:t>
            </w:r>
            <w:r w:rsidRPr="000D3253">
              <w:rPr>
                <w:b/>
              </w:rPr>
              <w:t>précision</w:t>
            </w:r>
          </w:p>
          <w:p w14:paraId="28E41C67" w14:textId="2360D27E" w:rsidR="0018557D" w:rsidRPr="0082168D" w:rsidRDefault="000D3253" w:rsidP="000D3253">
            <w:pPr>
              <w:pStyle w:val="ListParagraphindent"/>
            </w:pPr>
            <w:r w:rsidRPr="00325535">
              <w:t xml:space="preserve">la </w:t>
            </w:r>
            <w:r w:rsidRPr="000D3253">
              <w:rPr>
                <w:b/>
              </w:rPr>
              <w:t>persuasion</w:t>
            </w:r>
          </w:p>
        </w:tc>
      </w:tr>
    </w:tbl>
    <w:p w14:paraId="08CF9400" w14:textId="77777777" w:rsidR="00F9586F" w:rsidRPr="0082168D" w:rsidRDefault="00F9586F" w:rsidP="0082168D">
      <w:pPr>
        <w:rPr>
          <w:sz w:val="2"/>
          <w:szCs w:val="2"/>
        </w:rPr>
      </w:pPr>
    </w:p>
    <w:sectPr w:rsidR="00F9586F" w:rsidRPr="0082168D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78AC8C60" w:rsidR="00FE1345" w:rsidRPr="00A92E1B" w:rsidRDefault="00A92E1B" w:rsidP="00A92E1B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</w:rPr>
      <w:t>Juin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Pr="00C40C1D">
      <w:rPr>
        <w:rFonts w:ascii="Helvetica" w:hAnsi="Helvetica"/>
        <w:i/>
        <w:sz w:val="20"/>
        <w:lang w:val="fr-CA"/>
      </w:rPr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596795">
      <w:rPr>
        <w:rStyle w:val="PageNumber"/>
        <w:rFonts w:ascii="Helvetica" w:hAnsi="Helvetica"/>
        <w:i/>
        <w:noProof/>
        <w:sz w:val="20"/>
        <w:lang w:val="fr-CA"/>
      </w:rPr>
      <w:t>1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792DF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C6A81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0E8D3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D108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384A5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CC2B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9468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C028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B43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069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44757"/>
    <w:multiLevelType w:val="hybridMultilevel"/>
    <w:tmpl w:val="96E69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2F554D"/>
    <w:multiLevelType w:val="hybridMultilevel"/>
    <w:tmpl w:val="421A6A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EA61D6A"/>
    <w:multiLevelType w:val="hybridMultilevel"/>
    <w:tmpl w:val="542C9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A86505"/>
    <w:multiLevelType w:val="hybridMultilevel"/>
    <w:tmpl w:val="69EAD6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52CDC"/>
    <w:multiLevelType w:val="hybridMultilevel"/>
    <w:tmpl w:val="EF86969A"/>
    <w:lvl w:ilvl="0" w:tplc="143E11DC">
      <w:start w:val="1"/>
      <w:numFmt w:val="bullet"/>
      <w:pStyle w:val="ListParagraph"/>
      <w:lvlText w:val=""/>
      <w:lvlJc w:val="left"/>
      <w:pPr>
        <w:tabs>
          <w:tab w:val="num" w:pos="2400"/>
        </w:tabs>
        <w:ind w:left="24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3077F0E"/>
    <w:multiLevelType w:val="multilevel"/>
    <w:tmpl w:val="422AB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2BA7668A"/>
    <w:multiLevelType w:val="hybridMultilevel"/>
    <w:tmpl w:val="B6B252A0"/>
    <w:lvl w:ilvl="0" w:tplc="CD56D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CE69C2"/>
    <w:multiLevelType w:val="hybridMultilevel"/>
    <w:tmpl w:val="8904B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45A7851"/>
    <w:multiLevelType w:val="multilevel"/>
    <w:tmpl w:val="2E969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462252C5"/>
    <w:multiLevelType w:val="hybridMultilevel"/>
    <w:tmpl w:val="1ED6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17CA9"/>
    <w:multiLevelType w:val="multilevel"/>
    <w:tmpl w:val="763C5FA6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9D5E68"/>
    <w:multiLevelType w:val="hybridMultilevel"/>
    <w:tmpl w:val="EF3A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11E5A"/>
    <w:multiLevelType w:val="multilevel"/>
    <w:tmpl w:val="2CBA52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>
    <w:nsid w:val="5CF14796"/>
    <w:multiLevelType w:val="hybridMultilevel"/>
    <w:tmpl w:val="32D80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AB5FB1"/>
    <w:multiLevelType w:val="multilevel"/>
    <w:tmpl w:val="A75881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>
    <w:nsid w:val="698304B8"/>
    <w:multiLevelType w:val="multilevel"/>
    <w:tmpl w:val="64625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6302C0"/>
    <w:multiLevelType w:val="multilevel"/>
    <w:tmpl w:val="5016D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9904A3E"/>
    <w:multiLevelType w:val="hybridMultilevel"/>
    <w:tmpl w:val="FDEC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B942751"/>
    <w:multiLevelType w:val="multilevel"/>
    <w:tmpl w:val="2926F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2">
    <w:nsid w:val="7DF4531C"/>
    <w:multiLevelType w:val="hybridMultilevel"/>
    <w:tmpl w:val="A398981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15"/>
  </w:num>
  <w:num w:numId="3">
    <w:abstractNumId w:val="34"/>
  </w:num>
  <w:num w:numId="4">
    <w:abstractNumId w:val="9"/>
  </w:num>
  <w:num w:numId="5">
    <w:abstractNumId w:val="43"/>
  </w:num>
  <w:num w:numId="6">
    <w:abstractNumId w:val="40"/>
  </w:num>
  <w:num w:numId="7">
    <w:abstractNumId w:val="23"/>
  </w:num>
  <w:num w:numId="8">
    <w:abstractNumId w:val="35"/>
  </w:num>
  <w:num w:numId="9">
    <w:abstractNumId w:val="17"/>
  </w:num>
  <w:num w:numId="10">
    <w:abstractNumId w:val="32"/>
  </w:num>
  <w:num w:numId="11">
    <w:abstractNumId w:val="33"/>
  </w:num>
  <w:num w:numId="12">
    <w:abstractNumId w:val="21"/>
  </w:num>
  <w:num w:numId="13">
    <w:abstractNumId w:val="38"/>
  </w:num>
  <w:num w:numId="14">
    <w:abstractNumId w:val="27"/>
  </w:num>
  <w:num w:numId="15">
    <w:abstractNumId w:val="30"/>
  </w:num>
  <w:num w:numId="16">
    <w:abstractNumId w:val="41"/>
  </w:num>
  <w:num w:numId="17">
    <w:abstractNumId w:val="16"/>
  </w:num>
  <w:num w:numId="18">
    <w:abstractNumId w:val="25"/>
  </w:num>
  <w:num w:numId="19">
    <w:abstractNumId w:val="31"/>
  </w:num>
  <w:num w:numId="20">
    <w:abstractNumId w:val="22"/>
  </w:num>
  <w:num w:numId="21">
    <w:abstractNumId w:val="36"/>
  </w:num>
  <w:num w:numId="22">
    <w:abstractNumId w:val="42"/>
  </w:num>
  <w:num w:numId="23">
    <w:abstractNumId w:val="20"/>
  </w:num>
  <w:num w:numId="24">
    <w:abstractNumId w:val="14"/>
  </w:num>
  <w:num w:numId="25">
    <w:abstractNumId w:val="37"/>
  </w:num>
  <w:num w:numId="26">
    <w:abstractNumId w:val="28"/>
  </w:num>
  <w:num w:numId="27">
    <w:abstractNumId w:val="19"/>
  </w:num>
  <w:num w:numId="28">
    <w:abstractNumId w:val="13"/>
  </w:num>
  <w:num w:numId="29">
    <w:abstractNumId w:val="11"/>
  </w:num>
  <w:num w:numId="30">
    <w:abstractNumId w:val="18"/>
  </w:num>
  <w:num w:numId="31">
    <w:abstractNumId w:val="26"/>
  </w:num>
  <w:num w:numId="32">
    <w:abstractNumId w:val="10"/>
  </w:num>
  <w:num w:numId="33">
    <w:abstractNumId w:val="24"/>
  </w:num>
  <w:num w:numId="34">
    <w:abstractNumId w:val="39"/>
  </w:num>
  <w:num w:numId="35">
    <w:abstractNumId w:val="12"/>
  </w:num>
  <w:num w:numId="36">
    <w:abstractNumId w:val="29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8"/>
  </w:num>
  <w:num w:numId="43">
    <w:abstractNumId w:val="5"/>
  </w:num>
  <w:num w:numId="44">
    <w:abstractNumId w:val="6"/>
  </w:num>
  <w:num w:numId="4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65C53"/>
    <w:rsid w:val="00070C03"/>
    <w:rsid w:val="00075A01"/>
    <w:rsid w:val="00075F95"/>
    <w:rsid w:val="000A1146"/>
    <w:rsid w:val="000A3FAA"/>
    <w:rsid w:val="000B2381"/>
    <w:rsid w:val="000D3253"/>
    <w:rsid w:val="000D5F41"/>
    <w:rsid w:val="000E4C78"/>
    <w:rsid w:val="000E555C"/>
    <w:rsid w:val="001156EF"/>
    <w:rsid w:val="00123905"/>
    <w:rsid w:val="0013007A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1945"/>
    <w:rsid w:val="00235F25"/>
    <w:rsid w:val="002747D7"/>
    <w:rsid w:val="00286C72"/>
    <w:rsid w:val="00287CDA"/>
    <w:rsid w:val="002939D8"/>
    <w:rsid w:val="002967B0"/>
    <w:rsid w:val="002C42CD"/>
    <w:rsid w:val="002E3C1B"/>
    <w:rsid w:val="002E55AA"/>
    <w:rsid w:val="002F25D4"/>
    <w:rsid w:val="0030194A"/>
    <w:rsid w:val="0030523B"/>
    <w:rsid w:val="003139F3"/>
    <w:rsid w:val="00315439"/>
    <w:rsid w:val="00364762"/>
    <w:rsid w:val="00370C94"/>
    <w:rsid w:val="0037483C"/>
    <w:rsid w:val="00391687"/>
    <w:rsid w:val="003925B2"/>
    <w:rsid w:val="00396AFB"/>
    <w:rsid w:val="003A3345"/>
    <w:rsid w:val="003D5FED"/>
    <w:rsid w:val="003E3E64"/>
    <w:rsid w:val="003F1DB7"/>
    <w:rsid w:val="00400F30"/>
    <w:rsid w:val="0040342A"/>
    <w:rsid w:val="00413BC2"/>
    <w:rsid w:val="004220F8"/>
    <w:rsid w:val="00447D8B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4F4B91"/>
    <w:rsid w:val="005058D0"/>
    <w:rsid w:val="005245E1"/>
    <w:rsid w:val="005318CB"/>
    <w:rsid w:val="00531C04"/>
    <w:rsid w:val="00540595"/>
    <w:rsid w:val="0056669F"/>
    <w:rsid w:val="00567385"/>
    <w:rsid w:val="00571604"/>
    <w:rsid w:val="00572D34"/>
    <w:rsid w:val="0059376F"/>
    <w:rsid w:val="00596795"/>
    <w:rsid w:val="005A2812"/>
    <w:rsid w:val="005B496A"/>
    <w:rsid w:val="005C0C77"/>
    <w:rsid w:val="005C787D"/>
    <w:rsid w:val="005E0FCC"/>
    <w:rsid w:val="005F4985"/>
    <w:rsid w:val="005F4E5B"/>
    <w:rsid w:val="00607C26"/>
    <w:rsid w:val="00620D38"/>
    <w:rsid w:val="006211F9"/>
    <w:rsid w:val="00625242"/>
    <w:rsid w:val="00643978"/>
    <w:rsid w:val="006459CD"/>
    <w:rsid w:val="0065155B"/>
    <w:rsid w:val="0066139A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52020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15E42"/>
    <w:rsid w:val="0082168D"/>
    <w:rsid w:val="008228AC"/>
    <w:rsid w:val="008254BD"/>
    <w:rsid w:val="0083454F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A7CD2"/>
    <w:rsid w:val="008C0693"/>
    <w:rsid w:val="008E3502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0FE0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2C1B"/>
    <w:rsid w:val="00A85D89"/>
    <w:rsid w:val="00A87F23"/>
    <w:rsid w:val="00A9052F"/>
    <w:rsid w:val="00A92E1B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0ABB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3487"/>
    <w:rsid w:val="00C868AA"/>
    <w:rsid w:val="00C973D3"/>
    <w:rsid w:val="00CA564F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654A"/>
    <w:rsid w:val="00D932D7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A1146"/>
    <w:pPr>
      <w:numPr>
        <w:numId w:val="1"/>
      </w:numPr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0A1146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0ACC0-47E8-AE42-97C5-7F2DFAE0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700</Words>
  <Characters>4145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4836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65</cp:revision>
  <cp:lastPrinted>2018-03-28T18:58:00Z</cp:lastPrinted>
  <dcterms:created xsi:type="dcterms:W3CDTF">2018-03-21T22:11:00Z</dcterms:created>
  <dcterms:modified xsi:type="dcterms:W3CDTF">2018-06-15T20:33:00Z</dcterms:modified>
</cp:coreProperties>
</file>