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2B3E0" w14:textId="7D9A3E2E" w:rsidR="00C248B8" w:rsidRPr="00C7027A" w:rsidRDefault="00C248B8" w:rsidP="00C248B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7027A">
        <w:rPr>
          <w:noProof/>
          <w:szCs w:val="20"/>
          <w:lang w:val="en-US"/>
        </w:rPr>
        <w:drawing>
          <wp:anchor distT="0" distB="0" distL="114300" distR="114300" simplePos="0" relativeHeight="251666944" behindDoc="0" locked="0" layoutInCell="1" allowOverlap="1" wp14:anchorId="1D1F60F0" wp14:editId="57D69DD8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27A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</w:t>
      </w:r>
      <w:r w:rsidR="004F7F89">
        <w:rPr>
          <w:b/>
          <w:sz w:val="28"/>
        </w:rPr>
        <w:t>PENDJABI</w:t>
      </w:r>
      <w:r>
        <w:rPr>
          <w:b/>
          <w:sz w:val="28"/>
        </w:rPr>
        <w:t> </w:t>
      </w:r>
      <w:r w:rsidR="001E0405">
        <w:rPr>
          <w:b/>
          <w:sz w:val="28"/>
        </w:rPr>
        <w:t>—</w:t>
      </w:r>
      <w:r>
        <w:rPr>
          <w:b/>
          <w:sz w:val="28"/>
        </w:rPr>
        <w:t xml:space="preserve"> </w:t>
      </w:r>
      <w:r w:rsidRPr="005E3176">
        <w:rPr>
          <w:b/>
          <w:sz w:val="28"/>
        </w:rPr>
        <w:t xml:space="preserve">Introduction au </w:t>
      </w:r>
      <w:r w:rsidR="00F41210">
        <w:rPr>
          <w:b/>
          <w:sz w:val="28"/>
        </w:rPr>
        <w:t>pendjabi</w:t>
      </w:r>
      <w:r w:rsidRPr="00C7027A">
        <w:rPr>
          <w:b/>
          <w:sz w:val="28"/>
        </w:rPr>
        <w:tab/>
        <w:t>11</w:t>
      </w:r>
      <w:r w:rsidRPr="00C7027A">
        <w:rPr>
          <w:rFonts w:ascii="Times New Roman Bold" w:hAnsi="Times New Roman Bold"/>
          <w:b/>
          <w:position w:val="6"/>
          <w:sz w:val="22"/>
        </w:rPr>
        <w:t>e</w:t>
      </w:r>
      <w:r w:rsidRPr="00C7027A">
        <w:rPr>
          <w:b/>
          <w:sz w:val="28"/>
        </w:rPr>
        <w:t xml:space="preserve"> année</w:t>
      </w:r>
    </w:p>
    <w:p w14:paraId="6DCB8565" w14:textId="77777777" w:rsidR="00C248B8" w:rsidRPr="00C7027A" w:rsidRDefault="00C248B8" w:rsidP="00C248B8">
      <w:pPr>
        <w:tabs>
          <w:tab w:val="right" w:pos="14232"/>
        </w:tabs>
        <w:spacing w:before="60"/>
        <w:rPr>
          <w:b/>
          <w:sz w:val="28"/>
        </w:rPr>
      </w:pPr>
      <w:r w:rsidRPr="00C7027A">
        <w:rPr>
          <w:b/>
          <w:sz w:val="28"/>
        </w:rPr>
        <w:tab/>
      </w:r>
    </w:p>
    <w:p w14:paraId="33C9588C" w14:textId="17EF011D" w:rsidR="00C248B8" w:rsidRPr="00C7027A" w:rsidRDefault="00C248B8" w:rsidP="00C248B8">
      <w:pPr>
        <w:spacing w:before="480" w:after="240"/>
        <w:ind w:left="240" w:right="320"/>
        <w:jc w:val="center"/>
        <w:rPr>
          <w:rFonts w:cs="Cambria"/>
          <w:sz w:val="28"/>
        </w:rPr>
      </w:pPr>
      <w:r w:rsidRPr="0035489F">
        <w:rPr>
          <w:rFonts w:cs="Cambria"/>
          <w:b/>
          <w:sz w:val="28"/>
        </w:rPr>
        <w:t xml:space="preserve">INTRODUCTION </w:t>
      </w:r>
      <w:r>
        <w:rPr>
          <w:rFonts w:cs="Cambria"/>
          <w:b/>
          <w:sz w:val="28"/>
        </w:rPr>
        <w:t xml:space="preserve">AU </w:t>
      </w:r>
      <w:r w:rsidR="004F7F89">
        <w:rPr>
          <w:rFonts w:cs="Cambria"/>
          <w:b/>
          <w:sz w:val="28"/>
        </w:rPr>
        <w:t>PENDJABI</w:t>
      </w:r>
      <w:r>
        <w:rPr>
          <w:rFonts w:cs="Cambria"/>
          <w:b/>
          <w:sz w:val="28"/>
        </w:rPr>
        <w:t xml:space="preserve"> DE</w:t>
      </w:r>
      <w:r w:rsidRPr="0035489F">
        <w:rPr>
          <w:rFonts w:cs="Cambria"/>
          <w:b/>
          <w:sz w:val="28"/>
        </w:rPr>
        <w:t xml:space="preserve"> </w:t>
      </w:r>
      <w:r>
        <w:rPr>
          <w:rFonts w:cs="Cambria"/>
          <w:b/>
          <w:sz w:val="28"/>
        </w:rPr>
        <w:t>11</w:t>
      </w:r>
      <w:r w:rsidRPr="0035489F">
        <w:rPr>
          <w:rFonts w:ascii="Times New Roman Bold" w:hAnsi="Times New Roman Bold" w:cs="Cambria"/>
          <w:b/>
          <w:position w:val="6"/>
          <w:sz w:val="22"/>
        </w:rPr>
        <w:t>e</w:t>
      </w:r>
      <w:r>
        <w:rPr>
          <w:rFonts w:cs="Cambria"/>
          <w:b/>
          <w:sz w:val="28"/>
        </w:rPr>
        <w:t xml:space="preserve"> ANNÉE</w:t>
      </w:r>
    </w:p>
    <w:p w14:paraId="4E56B937" w14:textId="77777777" w:rsidR="00C248B8" w:rsidRPr="00C248B8" w:rsidRDefault="00C248B8" w:rsidP="00C248B8">
      <w:pPr>
        <w:spacing w:after="120"/>
        <w:ind w:left="240" w:right="320"/>
        <w:rPr>
          <w:rFonts w:ascii="Helvetica" w:hAnsi="Helvetica" w:cs="Cambria"/>
          <w:b/>
        </w:rPr>
      </w:pPr>
      <w:r w:rsidRPr="00C248B8">
        <w:rPr>
          <w:rFonts w:ascii="Helvetica" w:hAnsi="Helvetica" w:cs="Cambria"/>
          <w:b/>
        </w:rPr>
        <w:t>Préface</w:t>
      </w:r>
    </w:p>
    <w:p w14:paraId="16FB500D" w14:textId="6256C2EC" w:rsidR="004F7F89" w:rsidRPr="00682364" w:rsidRDefault="004F7F89" w:rsidP="004F7F89">
      <w:pPr>
        <w:pStyle w:val="Intro"/>
        <w:spacing w:line="280" w:lineRule="atLeast"/>
        <w:rPr>
          <w:lang w:val="fr-CA"/>
        </w:rPr>
      </w:pPr>
      <w:r w:rsidRPr="004F7F89">
        <w:rPr>
          <w:rFonts w:cstheme="minorHAnsi"/>
          <w:color w:val="000000" w:themeColor="text1"/>
        </w:rPr>
        <w:t>Le cours d’introduction au pendjabi de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4F7F89">
        <w:rPr>
          <w:rFonts w:cstheme="minorHAnsi"/>
          <w:color w:val="000000" w:themeColor="text1"/>
        </w:rPr>
        <w:t xml:space="preserve"> année a été mis au point pour permettre aux élèves qui n’ont pas commencé à étudier le pendjabi au primaire d’accéder à cette matière au secondaire. Il s’agit d’un cours intensif, conçu pour couvrir les normes d’apprentissage essentielles de la 5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4F7F89">
        <w:rPr>
          <w:rFonts w:cstheme="minorHAnsi"/>
          <w:color w:val="000000" w:themeColor="text1"/>
        </w:rPr>
        <w:t xml:space="preserve"> à la 10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4F7F89">
        <w:rPr>
          <w:rFonts w:cstheme="minorHAnsi"/>
          <w:color w:val="000000" w:themeColor="text1"/>
        </w:rPr>
        <w:t xml:space="preserve"> année dans un laps de temps accéléré afin de préparer les élèves au pendjabi de 11</w:t>
      </w:r>
      <w:r w:rsidRPr="004F7F89">
        <w:rPr>
          <w:rFonts w:cstheme="minorHAnsi"/>
          <w:color w:val="000000" w:themeColor="text1"/>
          <w:vertAlign w:val="superscript"/>
        </w:rPr>
        <w:t>e</w:t>
      </w:r>
      <w:r w:rsidRPr="004F7F89">
        <w:rPr>
          <w:rFonts w:cstheme="minorHAnsi"/>
          <w:color w:val="000000" w:themeColor="text1"/>
        </w:rPr>
        <w:t xml:space="preserve"> année. Il convient de noter que ce cours n’est pas aussi approfondi que le cours de pendjabi régulier de la 5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4F7F89">
        <w:rPr>
          <w:rFonts w:cstheme="minorHAnsi"/>
          <w:color w:val="000000" w:themeColor="text1"/>
        </w:rPr>
        <w:t xml:space="preserve"> à la 10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4F7F89">
        <w:rPr>
          <w:rFonts w:cstheme="minorHAnsi"/>
          <w:color w:val="000000" w:themeColor="text1"/>
        </w:rPr>
        <w:t xml:space="preserve"> année. </w:t>
      </w:r>
    </w:p>
    <w:p w14:paraId="514B7AB4" w14:textId="15D32D23" w:rsidR="004F7F89" w:rsidRPr="00682364" w:rsidRDefault="004F7F89" w:rsidP="004F7F89">
      <w:pPr>
        <w:pStyle w:val="Intro"/>
        <w:spacing w:line="280" w:lineRule="atLeast"/>
        <w:rPr>
          <w:lang w:val="fr-CA"/>
        </w:rPr>
      </w:pPr>
      <w:r w:rsidRPr="004F7F89">
        <w:rPr>
          <w:rFonts w:cstheme="minorHAnsi"/>
          <w:color w:val="000000" w:themeColor="text1"/>
        </w:rPr>
        <w:t>On suppose que les élèves qui s’inscrivent à ce cours ont une connaissance limitée ou inexistante du pendjabi. Toutefois, comme le contexte n’est pas le même partout, chaque conseil scolaire peut user de son pouvoir discrétionnaire quant aux critères</w:t>
      </w:r>
      <w:bookmarkStart w:id="0" w:name="_GoBack"/>
      <w:bookmarkEnd w:id="0"/>
      <w:r w:rsidRPr="004F7F89">
        <w:rPr>
          <w:rFonts w:cstheme="minorHAnsi"/>
          <w:color w:val="000000" w:themeColor="text1"/>
        </w:rPr>
        <w:t xml:space="preserve"> d’admission à ce cours. L’inscription au cours d’introduction au pendjabi</w:t>
      </w:r>
      <w:r w:rsidRPr="004F7F89">
        <w:rPr>
          <w:rFonts w:cstheme="minorHAnsi"/>
        </w:rPr>
        <w:t xml:space="preserve"> de</w:t>
      </w:r>
      <w:r w:rsidRPr="004F7F89">
        <w:rPr>
          <w:rFonts w:cstheme="minorHAnsi"/>
          <w:color w:val="000000" w:themeColor="text1"/>
        </w:rPr>
        <w:t xml:space="preserve">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4F7F89">
        <w:rPr>
          <w:rFonts w:cstheme="minorHAnsi"/>
          <w:color w:val="000000" w:themeColor="text1"/>
        </w:rPr>
        <w:t xml:space="preserve"> année ne se limite pas aux élèves de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>
        <w:rPr>
          <w:rFonts w:cstheme="minorHAnsi"/>
          <w:position w:val="6"/>
          <w:sz w:val="16"/>
          <w:szCs w:val="16"/>
          <w:lang w:val="fr-CA"/>
        </w:rPr>
        <w:t xml:space="preserve"> </w:t>
      </w:r>
      <w:r w:rsidRPr="004F7F89">
        <w:rPr>
          <w:rFonts w:cstheme="minorHAnsi"/>
          <w:color w:val="000000" w:themeColor="text1"/>
        </w:rPr>
        <w:t>année et elle n’exige aucun cours préalable.</w:t>
      </w:r>
    </w:p>
    <w:p w14:paraId="6FD29E73" w14:textId="77777777" w:rsidR="00C248B8" w:rsidRPr="00C248B8" w:rsidRDefault="00C248B8" w:rsidP="00C248B8">
      <w:pPr>
        <w:spacing w:before="60" w:after="60"/>
        <w:rPr>
          <w:rFonts w:ascii="Helvetica" w:hAnsi="Helvetica"/>
        </w:rPr>
      </w:pPr>
    </w:p>
    <w:p w14:paraId="7E1595C3" w14:textId="77777777" w:rsidR="00C248B8" w:rsidRPr="00C7027A" w:rsidRDefault="00C248B8" w:rsidP="00C248B8">
      <w:r w:rsidRPr="00C7027A">
        <w:br w:type="page"/>
      </w:r>
    </w:p>
    <w:p w14:paraId="3854F350" w14:textId="10F93ACB" w:rsidR="0014420D" w:rsidRPr="005A1FA5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5A1FA5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</w:t>
      </w:r>
      <w:r w:rsidR="004F7F89">
        <w:rPr>
          <w:b/>
          <w:sz w:val="28"/>
        </w:rPr>
        <w:t>PENDJABI</w:t>
      </w:r>
      <w:r w:rsidR="001E0405">
        <w:rPr>
          <w:b/>
          <w:sz w:val="28"/>
        </w:rPr>
        <w:t xml:space="preserve"> — </w:t>
      </w:r>
      <w:r w:rsidR="001E0405" w:rsidRPr="005E3176">
        <w:rPr>
          <w:b/>
          <w:sz w:val="28"/>
        </w:rPr>
        <w:t xml:space="preserve">Introduction au </w:t>
      </w:r>
      <w:r w:rsidR="00F41210">
        <w:rPr>
          <w:b/>
          <w:sz w:val="28"/>
        </w:rPr>
        <w:t>pendjabi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C97E8E" w:rsidRPr="005A1FA5">
        <w:rPr>
          <w:b/>
          <w:bCs/>
          <w:position w:val="6"/>
          <w:sz w:val="20"/>
          <w:szCs w:val="20"/>
        </w:rPr>
        <w:t>e</w:t>
      </w:r>
      <w:r w:rsidR="00C97E8E" w:rsidRPr="005A1FA5">
        <w:rPr>
          <w:b/>
          <w:bCs/>
          <w:sz w:val="28"/>
        </w:rPr>
        <w:t xml:space="preserve"> année</w:t>
      </w:r>
    </w:p>
    <w:p w14:paraId="2E070600" w14:textId="77777777" w:rsidR="0014420D" w:rsidRPr="005A1FA5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1F219315" w14:textId="51662234" w:rsidR="00670E49" w:rsidRPr="005A1FA5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560"/>
        <w:gridCol w:w="236"/>
        <w:gridCol w:w="2400"/>
        <w:gridCol w:w="236"/>
        <w:gridCol w:w="2800"/>
        <w:gridCol w:w="240"/>
        <w:gridCol w:w="2700"/>
      </w:tblGrid>
      <w:tr w:rsidR="009A2CC0" w:rsidRPr="005A1FA5" w14:paraId="290EE9D1" w14:textId="77777777" w:rsidTr="00BC38FB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2BD039CC" w:rsidR="009A2CC0" w:rsidRPr="005A1FA5" w:rsidRDefault="00545D3E" w:rsidP="00E50912">
            <w:pPr>
              <w:pStyle w:val="Tablestyle1"/>
              <w:rPr>
                <w:rFonts w:cs="Arial"/>
              </w:rPr>
            </w:pPr>
            <w:r w:rsidRPr="0024072A">
              <w:rPr>
                <w:rFonts w:cstheme="minorHAnsi"/>
                <w:color w:val="000000" w:themeColor="text1"/>
                <w:szCs w:val="20"/>
              </w:rPr>
              <w:t xml:space="preserve">L'écoute et le visionnement attentifs nous aident </w:t>
            </w:r>
            <w:r>
              <w:rPr>
                <w:rFonts w:cstheme="minorHAnsi"/>
                <w:color w:val="000000" w:themeColor="text1"/>
                <w:szCs w:val="20"/>
              </w:rPr>
              <w:br/>
            </w:r>
            <w:r w:rsidRPr="0024072A">
              <w:rPr>
                <w:rFonts w:cstheme="minorHAnsi"/>
                <w:szCs w:val="20"/>
              </w:rPr>
              <w:t xml:space="preserve">à comprendre et acquérir une </w:t>
            </w:r>
            <w:r w:rsidRPr="0024072A">
              <w:rPr>
                <w:rFonts w:cstheme="minorHAnsi"/>
                <w:color w:val="000000" w:themeColor="text1"/>
                <w:szCs w:val="20"/>
              </w:rPr>
              <w:t>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11C7ACF5" w:rsidR="009A2CC0" w:rsidRPr="005A1FA5" w:rsidRDefault="00545D3E" w:rsidP="00E50912">
            <w:pPr>
              <w:pStyle w:val="Tablestyle1"/>
              <w:rPr>
                <w:rFonts w:cs="Arial"/>
              </w:rPr>
            </w:pPr>
            <w:r w:rsidRPr="0024072A">
              <w:rPr>
                <w:rFonts w:cstheme="minorHAnsi"/>
                <w:color w:val="000000" w:themeColor="text1"/>
                <w:szCs w:val="20"/>
              </w:rPr>
              <w:t xml:space="preserve">Les </w:t>
            </w:r>
            <w:r w:rsidRPr="0024072A">
              <w:rPr>
                <w:rFonts w:cstheme="minorHAnsi"/>
                <w:b/>
                <w:color w:val="000000" w:themeColor="text1"/>
                <w:szCs w:val="20"/>
              </w:rPr>
              <w:t>histoires</w:t>
            </w:r>
            <w:r w:rsidRPr="0024072A">
              <w:rPr>
                <w:rFonts w:cstheme="minorHAnsi"/>
                <w:color w:val="000000" w:themeColor="text1"/>
                <w:szCs w:val="20"/>
              </w:rPr>
              <w:t xml:space="preserve"> nous aident à apprendre une langue et à </w:t>
            </w:r>
            <w:r w:rsidRPr="0024072A">
              <w:rPr>
                <w:rFonts w:cstheme="minorHAnsi"/>
                <w:b/>
                <w:color w:val="000000" w:themeColor="text1"/>
                <w:szCs w:val="20"/>
              </w:rPr>
              <w:t xml:space="preserve">comprendre le monde </w:t>
            </w:r>
            <w:r w:rsidRPr="0024072A">
              <w:rPr>
                <w:rFonts w:cstheme="minorHAnsi"/>
                <w:color w:val="000000" w:themeColor="text1"/>
                <w:szCs w:val="20"/>
              </w:rPr>
              <w:t>qui nous entoure.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2F4150CC" w:rsidR="009A2CC0" w:rsidRPr="005A1FA5" w:rsidRDefault="00545D3E" w:rsidP="00E50912">
            <w:pPr>
              <w:pStyle w:val="Tablestyle1"/>
              <w:rPr>
                <w:rFonts w:cs="Arial"/>
                <w:spacing w:val="-3"/>
              </w:rPr>
            </w:pPr>
            <w:r w:rsidRPr="0024072A">
              <w:rPr>
                <w:rFonts w:cstheme="minorHAnsi"/>
                <w:color w:val="000000" w:themeColor="text1"/>
                <w:szCs w:val="20"/>
              </w:rPr>
              <w:t>S'exprimer dans une nouvelle langue demande du courage, une prise de risque et de la persévérance.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E8F3B7" w14:textId="700B588C" w:rsidR="009A2CC0" w:rsidRPr="005A1FA5" w:rsidRDefault="00545D3E" w:rsidP="00E50912">
            <w:pPr>
              <w:pStyle w:val="Tablestyle1"/>
              <w:rPr>
                <w:rFonts w:cs="Arial"/>
              </w:rPr>
            </w:pPr>
            <w:r w:rsidRPr="0024072A">
              <w:rPr>
                <w:rFonts w:cstheme="minorHAnsi"/>
                <w:color w:val="000000" w:themeColor="text1"/>
                <w:szCs w:val="20"/>
              </w:rPr>
              <w:t xml:space="preserve">L'exploration de diverses </w:t>
            </w:r>
            <w:r w:rsidRPr="0024072A">
              <w:rPr>
                <w:rFonts w:cstheme="minorHAnsi"/>
                <w:b/>
                <w:color w:val="000000" w:themeColor="text1"/>
                <w:szCs w:val="20"/>
              </w:rPr>
              <w:t xml:space="preserve">formes d’expression culturelle </w:t>
            </w:r>
            <w:r w:rsidRPr="0024072A">
              <w:rPr>
                <w:rFonts w:cstheme="minorHAnsi"/>
                <w:color w:val="000000" w:themeColor="text1"/>
                <w:szCs w:val="20"/>
              </w:rPr>
              <w:t xml:space="preserve">nous permet </w:t>
            </w:r>
            <w:r>
              <w:rPr>
                <w:rFonts w:cstheme="minorHAnsi"/>
                <w:color w:val="000000" w:themeColor="text1"/>
                <w:szCs w:val="20"/>
              </w:rPr>
              <w:br/>
            </w:r>
            <w:r w:rsidRPr="0024072A">
              <w:rPr>
                <w:rFonts w:cstheme="minorHAnsi"/>
                <w:color w:val="000000" w:themeColor="text1"/>
                <w:szCs w:val="20"/>
              </w:rPr>
              <w:t xml:space="preserve">de découvrir et d'apprécier </w:t>
            </w:r>
            <w:r>
              <w:rPr>
                <w:rFonts w:cstheme="minorHAnsi"/>
                <w:color w:val="000000" w:themeColor="text1"/>
                <w:szCs w:val="20"/>
              </w:rPr>
              <w:br/>
            </w:r>
            <w:r w:rsidRPr="0024072A">
              <w:rPr>
                <w:rFonts w:cstheme="minorHAnsi"/>
                <w:color w:val="000000" w:themeColor="text1"/>
                <w:szCs w:val="20"/>
              </w:rPr>
              <w:t>la diversité culturelle.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DA859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358EF497" w:rsidR="009A2CC0" w:rsidRPr="005A1FA5" w:rsidRDefault="00545D3E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24072A">
              <w:rPr>
                <w:rFonts w:cstheme="minorHAnsi"/>
                <w:color w:val="000000" w:themeColor="text1"/>
                <w:szCs w:val="20"/>
              </w:rPr>
              <w:t xml:space="preserve">L'acquisition d'une nouvelle langue offre une occasion précieuse d'accéder </w:t>
            </w:r>
            <w:r w:rsidR="001A1BDC">
              <w:rPr>
                <w:rFonts w:cstheme="minorHAnsi"/>
                <w:color w:val="000000" w:themeColor="text1"/>
                <w:szCs w:val="20"/>
              </w:rPr>
              <w:br/>
            </w:r>
            <w:r w:rsidRPr="0024072A">
              <w:rPr>
                <w:rFonts w:cstheme="minorHAnsi"/>
                <w:color w:val="000000" w:themeColor="text1"/>
                <w:szCs w:val="20"/>
              </w:rPr>
              <w:t xml:space="preserve">à diverses communautés </w:t>
            </w:r>
            <w:r w:rsidR="001A1BDC">
              <w:rPr>
                <w:rFonts w:cstheme="minorHAnsi"/>
                <w:color w:val="000000" w:themeColor="text1"/>
                <w:szCs w:val="20"/>
              </w:rPr>
              <w:br/>
            </w:r>
            <w:r w:rsidRPr="0024072A">
              <w:rPr>
                <w:rFonts w:cstheme="minorHAnsi"/>
                <w:color w:val="000000" w:themeColor="text1"/>
                <w:szCs w:val="20"/>
              </w:rPr>
              <w:t xml:space="preserve">et d'interagir avec elles. </w:t>
            </w:r>
          </w:p>
        </w:tc>
      </w:tr>
    </w:tbl>
    <w:p w14:paraId="3C2CC5C0" w14:textId="77777777" w:rsidR="009A2CC0" w:rsidRPr="005A1FA5" w:rsidRDefault="009A2CC0" w:rsidP="009A2CC0">
      <w:pPr>
        <w:rPr>
          <w:sz w:val="16"/>
          <w:szCs w:val="16"/>
        </w:rPr>
      </w:pPr>
    </w:p>
    <w:p w14:paraId="2F2BAA8A" w14:textId="1FC33B70" w:rsidR="00E11BAF" w:rsidRPr="005A1FA5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  <w:gridCol w:w="7610"/>
      </w:tblGrid>
      <w:tr w:rsidR="00BD7881" w:rsidRPr="005A1FA5" w14:paraId="7C49560F" w14:textId="77777777" w:rsidTr="00BD7881">
        <w:tc>
          <w:tcPr>
            <w:tcW w:w="2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A1FA5" w:rsidRDefault="0059376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</w:t>
            </w:r>
            <w:r w:rsidR="00E11BAF" w:rsidRPr="005A1FA5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BD7881" w:rsidRPr="005A1FA5" w14:paraId="5149B766" w14:textId="77777777" w:rsidTr="00BD7881">
        <w:tc>
          <w:tcPr>
            <w:tcW w:w="2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5A1FA5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0DB59C4E" w14:textId="207CCE3A" w:rsidR="002A53A6" w:rsidRPr="0024072A" w:rsidRDefault="002A53A6" w:rsidP="002A53A6">
            <w:pPr>
              <w:pStyle w:val="ListParagraph"/>
              <w:rPr>
                <w:b/>
                <w:bCs/>
              </w:rPr>
            </w:pPr>
            <w:r w:rsidRPr="0024072A">
              <w:t>Reconnaître les liens entre la prononciation, l’</w:t>
            </w:r>
            <w:r w:rsidRPr="0024072A">
              <w:rPr>
                <w:b/>
              </w:rPr>
              <w:t xml:space="preserve">intonation, </w:t>
            </w:r>
            <w:r w:rsidR="00860788">
              <w:rPr>
                <w:b/>
              </w:rPr>
              <w:br/>
            </w:r>
            <w:r w:rsidRPr="0024072A">
              <w:rPr>
                <w:b/>
              </w:rPr>
              <w:t>le</w:t>
            </w:r>
            <w:r w:rsidRPr="0024072A">
              <w:t xml:space="preserve"> </w:t>
            </w:r>
            <w:r w:rsidRPr="0024072A">
              <w:rPr>
                <w:b/>
              </w:rPr>
              <w:t>ton de la voix</w:t>
            </w:r>
            <w:r w:rsidRPr="0024072A">
              <w:t xml:space="preserve"> et le sens</w:t>
            </w:r>
          </w:p>
          <w:p w14:paraId="0B3A06E6" w14:textId="6F004542" w:rsidR="002A53A6" w:rsidRPr="0024072A" w:rsidRDefault="002A53A6" w:rsidP="002A53A6">
            <w:pPr>
              <w:pStyle w:val="ListParagraph"/>
            </w:pPr>
            <w:r w:rsidRPr="0024072A">
              <w:t>Comprendre l’</w:t>
            </w:r>
            <w:r w:rsidRPr="0024072A">
              <w:rPr>
                <w:b/>
              </w:rPr>
              <w:t>information importante</w:t>
            </w:r>
            <w:r w:rsidRPr="0024072A">
              <w:t xml:space="preserve"> et les détails dans </w:t>
            </w:r>
            <w:r w:rsidR="00860788">
              <w:br/>
            </w:r>
            <w:r w:rsidRPr="0024072A">
              <w:t xml:space="preserve">des textes oraux et dans d’autres </w:t>
            </w:r>
            <w:r w:rsidRPr="0024072A">
              <w:rPr>
                <w:b/>
              </w:rPr>
              <w:t>textes</w:t>
            </w:r>
          </w:p>
          <w:p w14:paraId="4C275FA0" w14:textId="786DEC09" w:rsidR="002A53A6" w:rsidRPr="0024072A" w:rsidRDefault="002A53A6" w:rsidP="002A53A6">
            <w:pPr>
              <w:pStyle w:val="ListParagraph"/>
            </w:pPr>
            <w:r w:rsidRPr="0024072A">
              <w:rPr>
                <w:b/>
              </w:rPr>
              <w:t xml:space="preserve">Comprendre et relater </w:t>
            </w:r>
            <w:r w:rsidRPr="0024072A">
              <w:t xml:space="preserve">des histoires simples, en utilisant </w:t>
            </w:r>
            <w:r w:rsidR="00860788">
              <w:br/>
            </w:r>
            <w:r w:rsidRPr="0024072A">
              <w:t>une variété de stratégies</w:t>
            </w:r>
          </w:p>
          <w:p w14:paraId="1D8C4E33" w14:textId="2C05073D" w:rsidR="002A53A6" w:rsidRPr="0024072A" w:rsidRDefault="002A53A6" w:rsidP="002A53A6">
            <w:pPr>
              <w:pStyle w:val="ListParagraph"/>
              <w:rPr>
                <w:b/>
              </w:rPr>
            </w:pPr>
            <w:r w:rsidRPr="0024072A">
              <w:t xml:space="preserve">Employer des </w:t>
            </w:r>
            <w:r w:rsidRPr="0024072A">
              <w:rPr>
                <w:b/>
                <w:bCs/>
              </w:rPr>
              <w:t>stratégies d’apprentissage d’une langue</w:t>
            </w:r>
            <w:r w:rsidRPr="0024072A">
              <w:rPr>
                <w:bCs/>
              </w:rPr>
              <w:t xml:space="preserve"> </w:t>
            </w:r>
            <w:r w:rsidR="00860788">
              <w:rPr>
                <w:bCs/>
              </w:rPr>
              <w:br/>
            </w:r>
            <w:r w:rsidRPr="0024072A">
              <w:t xml:space="preserve">pour améliorer la compréhension </w:t>
            </w:r>
          </w:p>
          <w:p w14:paraId="2AA0C289" w14:textId="57F36D46" w:rsidR="002A53A6" w:rsidRPr="0024072A" w:rsidRDefault="002A53A6" w:rsidP="002A53A6">
            <w:pPr>
              <w:pStyle w:val="ListParagraph"/>
            </w:pPr>
            <w:r w:rsidRPr="0024072A">
              <w:t xml:space="preserve">Utiliser les </w:t>
            </w:r>
            <w:r w:rsidRPr="0024072A">
              <w:rPr>
                <w:b/>
              </w:rPr>
              <w:t>indices non verbaux</w:t>
            </w:r>
            <w:r w:rsidRPr="0024072A">
              <w:t xml:space="preserve"> pour améliorer </w:t>
            </w:r>
            <w:r w:rsidR="00860788">
              <w:br/>
            </w:r>
            <w:r w:rsidRPr="0024072A">
              <w:t>la compréhension et communiquer un sens</w:t>
            </w:r>
          </w:p>
          <w:p w14:paraId="7453CA99" w14:textId="77777777" w:rsidR="002A53A6" w:rsidRPr="0024072A" w:rsidRDefault="002A53A6" w:rsidP="002A53A6">
            <w:pPr>
              <w:pStyle w:val="ListParagraph"/>
              <w:rPr>
                <w:b/>
              </w:rPr>
            </w:pPr>
            <w:r w:rsidRPr="0024072A">
              <w:rPr>
                <w:b/>
              </w:rPr>
              <w:t xml:space="preserve">Raconter </w:t>
            </w:r>
            <w:r w:rsidRPr="0024072A">
              <w:t>des histoires, à l’oral et à l’écrit</w:t>
            </w:r>
          </w:p>
          <w:p w14:paraId="4D903EB3" w14:textId="77777777" w:rsidR="002A53A6" w:rsidRPr="0024072A" w:rsidRDefault="002A53A6" w:rsidP="002A53A6">
            <w:pPr>
              <w:pStyle w:val="ListParagraph"/>
            </w:pPr>
            <w:r w:rsidRPr="0024072A">
              <w:rPr>
                <w:b/>
              </w:rPr>
              <w:t xml:space="preserve">Échanger des idées </w:t>
            </w:r>
            <w:r w:rsidRPr="0024072A">
              <w:t>et de l’information, à l’oral et à l’écrit</w:t>
            </w:r>
          </w:p>
          <w:p w14:paraId="31C24141" w14:textId="77777777" w:rsidR="002A53A6" w:rsidRPr="0024072A" w:rsidRDefault="002A53A6" w:rsidP="002A53A6">
            <w:pPr>
              <w:pStyle w:val="ListParagraph"/>
              <w:rPr>
                <w:b/>
              </w:rPr>
            </w:pPr>
            <w:r w:rsidRPr="0024072A">
              <w:rPr>
                <w:b/>
                <w:bCs/>
              </w:rPr>
              <w:t>Chercher à clarifier et vérifier</w:t>
            </w:r>
            <w:r w:rsidRPr="0024072A">
              <w:rPr>
                <w:bCs/>
              </w:rPr>
              <w:t xml:space="preserve"> le sens</w:t>
            </w:r>
          </w:p>
          <w:p w14:paraId="61D86295" w14:textId="30B40686" w:rsidR="0024696F" w:rsidRPr="005A1FA5" w:rsidRDefault="002A53A6" w:rsidP="002A53A6">
            <w:pPr>
              <w:pStyle w:val="ListParagraph"/>
            </w:pPr>
            <w:r w:rsidRPr="0024072A">
              <w:rPr>
                <w:bCs/>
              </w:rPr>
              <w:t xml:space="preserve">Présenter de l’information en utilisant le </w:t>
            </w:r>
            <w:r w:rsidRPr="0024072A">
              <w:rPr>
                <w:b/>
                <w:bCs/>
              </w:rPr>
              <w:t xml:space="preserve">format de présentation </w:t>
            </w:r>
            <w:r w:rsidRPr="0024072A">
              <w:rPr>
                <w:bCs/>
              </w:rPr>
              <w:t xml:space="preserve">le mieux adapté à ses propres capacités </w:t>
            </w:r>
            <w:r w:rsidR="00860788">
              <w:rPr>
                <w:bCs/>
              </w:rPr>
              <w:br/>
            </w:r>
            <w:r w:rsidRPr="0024072A">
              <w:rPr>
                <w:bCs/>
              </w:rPr>
              <w:t>et à celles des autres</w:t>
            </w:r>
          </w:p>
        </w:tc>
        <w:tc>
          <w:tcPr>
            <w:tcW w:w="2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E7E6A36" w14:textId="77777777" w:rsidR="002A53A6" w:rsidRPr="0024072A" w:rsidRDefault="002A53A6" w:rsidP="002A53A6">
            <w:pPr>
              <w:pStyle w:val="ListParagraph"/>
              <w:rPr>
                <w:b/>
              </w:rPr>
            </w:pPr>
            <w:r w:rsidRPr="0024072A">
              <w:rPr>
                <w:b/>
              </w:rPr>
              <w:t>Alphabet</w:t>
            </w:r>
            <w:r w:rsidRPr="0024072A">
              <w:t xml:space="preserve">, </w:t>
            </w:r>
            <w:r w:rsidRPr="0024072A">
              <w:rPr>
                <w:b/>
              </w:rPr>
              <w:t>symboles, sons</w:t>
            </w:r>
            <w:r w:rsidRPr="0024072A">
              <w:t xml:space="preserve">, </w:t>
            </w:r>
            <w:r w:rsidRPr="0024072A">
              <w:rPr>
                <w:b/>
              </w:rPr>
              <w:t>phonèmes</w:t>
            </w:r>
            <w:r w:rsidRPr="0024072A">
              <w:t xml:space="preserve"> et </w:t>
            </w:r>
            <w:r w:rsidRPr="0024072A">
              <w:rPr>
                <w:b/>
              </w:rPr>
              <w:t>combinaisons de lettres</w:t>
            </w:r>
            <w:r w:rsidRPr="0024072A">
              <w:t xml:space="preserve"> en pendjabi</w:t>
            </w:r>
          </w:p>
          <w:p w14:paraId="02BD7E66" w14:textId="5DFC8B30" w:rsidR="002A53A6" w:rsidRPr="0024072A" w:rsidRDefault="002A53A6" w:rsidP="002A53A6">
            <w:pPr>
              <w:pStyle w:val="ListParagraphwithsub-bullets"/>
            </w:pPr>
            <w:r w:rsidRPr="0024072A">
              <w:t xml:space="preserve">Vocabulaire, structures de phrase et expressions d’usage courant </w:t>
            </w:r>
            <w:r>
              <w:br/>
            </w:r>
            <w:r w:rsidRPr="0024072A">
              <w:t>et fréquent, notamment :</w:t>
            </w:r>
          </w:p>
          <w:p w14:paraId="1F1E06EE" w14:textId="77777777" w:rsidR="002A53A6" w:rsidRPr="0024072A" w:rsidRDefault="002A53A6" w:rsidP="002A53A6">
            <w:pPr>
              <w:pStyle w:val="ListParagraphindent"/>
            </w:pPr>
            <w:r w:rsidRPr="0024072A">
              <w:t>les types de</w:t>
            </w:r>
            <w:r w:rsidRPr="0024072A">
              <w:rPr>
                <w:b/>
              </w:rPr>
              <w:t xml:space="preserve"> questions</w:t>
            </w:r>
          </w:p>
          <w:p w14:paraId="2C47D8A6" w14:textId="13EA507A" w:rsidR="002A53A6" w:rsidRPr="0024072A" w:rsidRDefault="002A53A6" w:rsidP="002A53A6">
            <w:pPr>
              <w:pStyle w:val="ListParagraphindent"/>
            </w:pPr>
            <w:r w:rsidRPr="0024072A">
              <w:t xml:space="preserve">les </w:t>
            </w:r>
            <w:r w:rsidRPr="0024072A">
              <w:rPr>
                <w:b/>
              </w:rPr>
              <w:t>modes d’adresse</w:t>
            </w:r>
            <w:r w:rsidRPr="0024072A">
              <w:t xml:space="preserve"> soutenus et familiers </w:t>
            </w:r>
          </w:p>
          <w:p w14:paraId="5B4F2362" w14:textId="77777777" w:rsidR="002A53A6" w:rsidRPr="0024072A" w:rsidRDefault="002A53A6" w:rsidP="002A53A6">
            <w:pPr>
              <w:pStyle w:val="ListParagraphindent"/>
              <w:rPr>
                <w:b/>
              </w:rPr>
            </w:pPr>
            <w:r w:rsidRPr="0024072A">
              <w:t xml:space="preserve">le </w:t>
            </w:r>
            <w:r w:rsidRPr="0024072A">
              <w:rPr>
                <w:b/>
              </w:rPr>
              <w:t>genre et nombre</w:t>
            </w:r>
          </w:p>
          <w:p w14:paraId="060D4098" w14:textId="77777777" w:rsidR="002A53A6" w:rsidRPr="0024072A" w:rsidRDefault="002A53A6" w:rsidP="002A53A6">
            <w:pPr>
              <w:pStyle w:val="ListParagraphindent"/>
            </w:pPr>
            <w:r w:rsidRPr="0024072A">
              <w:t xml:space="preserve">les </w:t>
            </w:r>
            <w:r w:rsidRPr="0024072A">
              <w:rPr>
                <w:b/>
              </w:rPr>
              <w:t>descriptions</w:t>
            </w:r>
            <w:r w:rsidRPr="0024072A">
              <w:t xml:space="preserve"> de personnes, d’objets, d’endroits et d’événements</w:t>
            </w:r>
          </w:p>
          <w:p w14:paraId="4573C077" w14:textId="77777777" w:rsidR="002A53A6" w:rsidRPr="0024072A" w:rsidRDefault="002A53A6" w:rsidP="002A53A6">
            <w:pPr>
              <w:pStyle w:val="ListParagraphindent"/>
              <w:rPr>
                <w:b/>
              </w:rPr>
            </w:pPr>
            <w:r w:rsidRPr="0024072A">
              <w:t xml:space="preserve">les intérêts personnels, </w:t>
            </w:r>
            <w:r w:rsidRPr="0024072A">
              <w:rPr>
                <w:b/>
              </w:rPr>
              <w:t>opinions et préférences</w:t>
            </w:r>
          </w:p>
          <w:p w14:paraId="04AB6662" w14:textId="77777777" w:rsidR="002A53A6" w:rsidRPr="002A53A6" w:rsidRDefault="002A53A6" w:rsidP="002A53A6">
            <w:pPr>
              <w:pStyle w:val="ListparagraphidentLastsub-bullet"/>
            </w:pPr>
            <w:r w:rsidRPr="0024072A">
              <w:t>les comparaisons</w:t>
            </w:r>
          </w:p>
          <w:p w14:paraId="3E836637" w14:textId="77777777" w:rsidR="002A53A6" w:rsidRPr="0024072A" w:rsidRDefault="002A53A6" w:rsidP="002A53A6">
            <w:pPr>
              <w:pStyle w:val="ListParagraph"/>
              <w:rPr>
                <w:b/>
              </w:rPr>
            </w:pPr>
            <w:r w:rsidRPr="0024072A">
              <w:rPr>
                <w:b/>
              </w:rPr>
              <w:t>Cadres temporels</w:t>
            </w:r>
            <w:r w:rsidRPr="0024072A">
              <w:t xml:space="preserve"> du passé, du présent et du futur</w:t>
            </w:r>
          </w:p>
          <w:p w14:paraId="51F510B0" w14:textId="3C748927" w:rsidR="002A53A6" w:rsidRPr="0024072A" w:rsidRDefault="002A53A6" w:rsidP="002A53A6">
            <w:pPr>
              <w:pStyle w:val="ListParagraph"/>
              <w:rPr>
                <w:b/>
              </w:rPr>
            </w:pPr>
            <w:r w:rsidRPr="0024072A">
              <w:t xml:space="preserve">Perspectives des peuples autochtones sur le lien entre la langue </w:t>
            </w:r>
            <w:r>
              <w:br/>
            </w:r>
            <w:r w:rsidRPr="0024072A">
              <w:t xml:space="preserve">et la culture, notamment les </w:t>
            </w:r>
            <w:r w:rsidRPr="0024072A">
              <w:rPr>
                <w:b/>
              </w:rPr>
              <w:t>histoires orales</w:t>
            </w:r>
            <w:r w:rsidRPr="0024072A">
              <w:t>, l’</w:t>
            </w:r>
            <w:r w:rsidRPr="0024072A">
              <w:rPr>
                <w:b/>
              </w:rPr>
              <w:t>identité</w:t>
            </w:r>
            <w:r w:rsidRPr="0024072A">
              <w:t xml:space="preserve"> et le </w:t>
            </w:r>
            <w:r w:rsidRPr="0024072A">
              <w:rPr>
                <w:b/>
              </w:rPr>
              <w:t>lieu</w:t>
            </w:r>
          </w:p>
          <w:p w14:paraId="418E1F6E" w14:textId="77777777" w:rsidR="002A53A6" w:rsidRPr="0024072A" w:rsidRDefault="002A53A6" w:rsidP="002A53A6">
            <w:pPr>
              <w:pStyle w:val="ListParagraph"/>
              <w:rPr>
                <w:b/>
              </w:rPr>
            </w:pPr>
            <w:r w:rsidRPr="0024072A">
              <w:rPr>
                <w:b/>
              </w:rPr>
              <w:t>Éléments communs dans les histoires</w:t>
            </w:r>
            <w:r w:rsidRPr="0024072A">
              <w:t xml:space="preserve"> </w:t>
            </w:r>
          </w:p>
          <w:p w14:paraId="0458A398" w14:textId="77777777" w:rsidR="002A53A6" w:rsidRPr="0024072A" w:rsidRDefault="002A53A6" w:rsidP="002A53A6">
            <w:pPr>
              <w:pStyle w:val="ListParagraph"/>
            </w:pPr>
            <w:r w:rsidRPr="0024072A">
              <w:rPr>
                <w:b/>
              </w:rPr>
              <w:t xml:space="preserve">Aspects culturels </w:t>
            </w:r>
            <w:r w:rsidRPr="0024072A">
              <w:t>des communautés de langue pendjabie</w:t>
            </w:r>
          </w:p>
          <w:p w14:paraId="5788AF85" w14:textId="77777777" w:rsidR="002A53A6" w:rsidRPr="0024072A" w:rsidRDefault="002A53A6" w:rsidP="002A53A6">
            <w:pPr>
              <w:pStyle w:val="ListParagraph"/>
            </w:pPr>
            <w:r w:rsidRPr="0024072A">
              <w:rPr>
                <w:b/>
              </w:rPr>
              <w:t>Œuvres d</w:t>
            </w:r>
            <w:r w:rsidRPr="0024072A">
              <w:rPr>
                <w:b/>
                <w:bCs/>
              </w:rPr>
              <w:t>’art</w:t>
            </w:r>
            <w:r w:rsidRPr="0024072A">
              <w:t xml:space="preserve"> pendjabies</w:t>
            </w:r>
          </w:p>
          <w:p w14:paraId="03C90176" w14:textId="31C26F16" w:rsidR="0024696F" w:rsidRPr="005A1FA5" w:rsidRDefault="002A53A6" w:rsidP="002A53A6">
            <w:pPr>
              <w:pStyle w:val="ListParagraph"/>
              <w:spacing w:after="120"/>
            </w:pPr>
            <w:r w:rsidRPr="0024072A">
              <w:t>Comportements éthiques pour éviter l’</w:t>
            </w:r>
            <w:r w:rsidRPr="0024072A">
              <w:rPr>
                <w:b/>
                <w:bCs/>
              </w:rPr>
              <w:t xml:space="preserve">appropriation culturelle </w:t>
            </w:r>
            <w:r w:rsidRPr="0024072A">
              <w:t>et le plagiat</w:t>
            </w:r>
          </w:p>
        </w:tc>
      </w:tr>
    </w:tbl>
    <w:p w14:paraId="1251CD0A" w14:textId="6A972273" w:rsidR="0031444E" w:rsidRPr="005A1FA5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5A1FA5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</w:t>
      </w:r>
      <w:r w:rsidR="004F7F89">
        <w:rPr>
          <w:b/>
          <w:sz w:val="28"/>
        </w:rPr>
        <w:t>PENDJABI</w:t>
      </w:r>
      <w:r w:rsidR="001E0405">
        <w:rPr>
          <w:b/>
          <w:sz w:val="28"/>
        </w:rPr>
        <w:t xml:space="preserve"> — </w:t>
      </w:r>
      <w:r w:rsidR="001E0405" w:rsidRPr="005E3176">
        <w:rPr>
          <w:b/>
          <w:sz w:val="28"/>
        </w:rPr>
        <w:t xml:space="preserve">Introduction au </w:t>
      </w:r>
      <w:r w:rsidR="00F41210">
        <w:rPr>
          <w:b/>
          <w:sz w:val="28"/>
        </w:rPr>
        <w:t>pendjabi</w:t>
      </w:r>
      <w:r w:rsidR="00362A29"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8052B3" w:rsidRPr="005A1FA5">
        <w:rPr>
          <w:b/>
          <w:bCs/>
          <w:position w:val="6"/>
          <w:sz w:val="20"/>
          <w:szCs w:val="20"/>
        </w:rPr>
        <w:t>e</w:t>
      </w:r>
      <w:r w:rsidR="008052B3" w:rsidRPr="005A1FA5">
        <w:rPr>
          <w:b/>
          <w:bCs/>
          <w:sz w:val="28"/>
        </w:rPr>
        <w:t xml:space="preserve"> année</w:t>
      </w:r>
    </w:p>
    <w:p w14:paraId="1BA8EA2A" w14:textId="77777777" w:rsidR="00362A29" w:rsidRPr="005A1FA5" w:rsidRDefault="00362A29" w:rsidP="00362A29"/>
    <w:p w14:paraId="1658F336" w14:textId="1F1E9605" w:rsidR="0018557D" w:rsidRPr="005A1FA5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2"/>
        <w:gridCol w:w="6792"/>
      </w:tblGrid>
      <w:tr w:rsidR="006975F6" w:rsidRPr="005A1FA5" w14:paraId="2367A8FA" w14:textId="77777777" w:rsidTr="006975F6">
        <w:tc>
          <w:tcPr>
            <w:tcW w:w="2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6975F6" w:rsidRPr="005A1FA5" w14:paraId="522264D9" w14:textId="77777777" w:rsidTr="006975F6">
        <w:trPr>
          <w:trHeight w:val="484"/>
        </w:trPr>
        <w:tc>
          <w:tcPr>
            <w:tcW w:w="2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4C31D515" w:rsidR="005B2123" w:rsidRPr="005A1FA5" w:rsidRDefault="00460EB3" w:rsidP="005B2123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A02E11B" w14:textId="056B1255" w:rsidR="002A53A6" w:rsidRPr="0024072A" w:rsidRDefault="002A53A6" w:rsidP="002A53A6">
            <w:pPr>
              <w:pStyle w:val="ListParagraph"/>
              <w:rPr>
                <w:b/>
              </w:rPr>
            </w:pPr>
            <w:r w:rsidRPr="0024072A">
              <w:rPr>
                <w:b/>
              </w:rPr>
              <w:t xml:space="preserve">Vivre des expériences </w:t>
            </w:r>
            <w:r w:rsidRPr="0024072A">
              <w:t xml:space="preserve">avec des personnes pendjabies et dans </w:t>
            </w:r>
            <w:r w:rsidR="00860788">
              <w:br/>
            </w:r>
            <w:r w:rsidRPr="0024072A">
              <w:t>des communautés de langue pendjabie</w:t>
            </w:r>
          </w:p>
          <w:p w14:paraId="6B82AC16" w14:textId="77777777" w:rsidR="002A53A6" w:rsidRPr="0024072A" w:rsidRDefault="002A53A6" w:rsidP="002A53A6">
            <w:pPr>
              <w:pStyle w:val="ListParagraph"/>
              <w:rPr>
                <w:b/>
              </w:rPr>
            </w:pPr>
            <w:r w:rsidRPr="0024072A">
              <w:t xml:space="preserve">Examiner des expériences personnelles ou collectives, des expériences d’autres personnes, des perspectives et des visions du monde dans une </w:t>
            </w:r>
            <w:r w:rsidRPr="0024072A">
              <w:rPr>
                <w:b/>
              </w:rPr>
              <w:t>optique culturelle</w:t>
            </w:r>
            <w:r w:rsidRPr="0024072A">
              <w:t xml:space="preserve"> </w:t>
            </w:r>
          </w:p>
          <w:p w14:paraId="287E313D" w14:textId="0F10BBAF" w:rsidR="00D96986" w:rsidRPr="005A1FA5" w:rsidRDefault="002A53A6" w:rsidP="002A53A6">
            <w:pPr>
              <w:pStyle w:val="ListParagraph"/>
              <w:spacing w:after="120"/>
            </w:pPr>
            <w:r w:rsidRPr="0024072A">
              <w:t xml:space="preserve">Reconnaître les perspectives et les connaissances des peuples autochtones, d’autres </w:t>
            </w:r>
            <w:r w:rsidRPr="0024072A">
              <w:rPr>
                <w:b/>
              </w:rPr>
              <w:t>méthodes d’acquisition du savoir</w:t>
            </w:r>
            <w:r w:rsidRPr="0024072A">
              <w:t xml:space="preserve"> et les connaissances culturelles locales</w:t>
            </w: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5A1FA5" w:rsidRDefault="007904B5" w:rsidP="00141B38">
            <w:pPr>
              <w:rPr>
                <w:lang w:eastAsia="ja-JP"/>
              </w:rPr>
            </w:pPr>
          </w:p>
        </w:tc>
      </w:tr>
    </w:tbl>
    <w:p w14:paraId="329CBE32" w14:textId="77777777" w:rsidR="00B206D3" w:rsidRPr="005A1FA5" w:rsidRDefault="00B206D3" w:rsidP="00153CA4">
      <w:pPr>
        <w:rPr>
          <w:sz w:val="16"/>
        </w:rPr>
      </w:pPr>
    </w:p>
    <w:p w14:paraId="4239541D" w14:textId="77777777" w:rsidR="00B206D3" w:rsidRPr="005A1FA5" w:rsidRDefault="00B206D3" w:rsidP="00153CA4">
      <w:pPr>
        <w:rPr>
          <w:sz w:val="16"/>
        </w:rPr>
      </w:pPr>
    </w:p>
    <w:p w14:paraId="1CF80B88" w14:textId="77777777" w:rsidR="00D772C9" w:rsidRPr="005A1FA5" w:rsidRDefault="00D772C9" w:rsidP="00153CA4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5A1FA5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25C35D84" w:rsidR="00D772C9" w:rsidRPr="005A1FA5" w:rsidRDefault="00D772C9" w:rsidP="001E04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5A1FA5">
              <w:lastRenderedPageBreak/>
              <w:br w:type="page"/>
            </w:r>
            <w:r w:rsidRPr="005A1FA5">
              <w:rPr>
                <w:b/>
              </w:rPr>
              <w:tab/>
            </w:r>
            <w:r w:rsidR="004F7F89">
              <w:rPr>
                <w:b/>
                <w:szCs w:val="22"/>
              </w:rPr>
              <w:t>PENDJABI</w:t>
            </w:r>
            <w:r w:rsidR="001E0405">
              <w:rPr>
                <w:b/>
                <w:szCs w:val="22"/>
              </w:rPr>
              <w:t xml:space="preserve"> –</w:t>
            </w:r>
            <w:r w:rsidR="00EC2BAD">
              <w:rPr>
                <w:b/>
                <w:szCs w:val="22"/>
              </w:rPr>
              <w:t xml:space="preserve"> </w:t>
            </w:r>
            <w:r w:rsidR="00D916EC" w:rsidRPr="00D916EC">
              <w:rPr>
                <w:b/>
                <w:szCs w:val="22"/>
              </w:rPr>
              <w:t xml:space="preserve">Introduction au </w:t>
            </w:r>
            <w:r w:rsidR="00F41210">
              <w:rPr>
                <w:b/>
                <w:szCs w:val="22"/>
              </w:rPr>
              <w:t>pendjabi</w:t>
            </w:r>
            <w:r w:rsidRPr="005A1FA5">
              <w:rPr>
                <w:b/>
              </w:rPr>
              <w:br/>
              <w:t>Grandes idées – Approfondissements</w:t>
            </w:r>
            <w:r w:rsidRPr="005A1FA5">
              <w:rPr>
                <w:b/>
              </w:rPr>
              <w:tab/>
            </w:r>
            <w:r w:rsidR="005B1748" w:rsidRPr="005A1FA5">
              <w:rPr>
                <w:b/>
              </w:rPr>
              <w:t>11</w:t>
            </w:r>
            <w:r w:rsidR="00EB6F98" w:rsidRPr="005A1FA5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5A1FA5">
              <w:rPr>
                <w:b/>
              </w:rPr>
              <w:t xml:space="preserve"> année</w:t>
            </w:r>
          </w:p>
        </w:tc>
      </w:tr>
      <w:tr w:rsidR="00D772C9" w:rsidRPr="005A1FA5" w14:paraId="2BC0D1FC" w14:textId="77777777" w:rsidTr="00E50912">
        <w:tc>
          <w:tcPr>
            <w:tcW w:w="5000" w:type="pct"/>
            <w:shd w:val="clear" w:color="auto" w:fill="F3F3F3"/>
          </w:tcPr>
          <w:p w14:paraId="13A77318" w14:textId="16C9DC85" w:rsidR="00CB3D39" w:rsidRPr="0024072A" w:rsidRDefault="00CB3D39" w:rsidP="00CB3D39">
            <w:pPr>
              <w:pStyle w:val="ListParagraph"/>
              <w:spacing w:before="120"/>
            </w:pPr>
            <w:r w:rsidRPr="0024072A">
              <w:rPr>
                <w:b/>
                <w:bCs/>
              </w:rPr>
              <w:t>histoires :</w:t>
            </w:r>
            <w:r w:rsidRPr="0024072A">
              <w:rPr>
                <w:bCs/>
              </w:rPr>
              <w:t> </w:t>
            </w:r>
            <w:r w:rsidRPr="0024072A">
              <w:t xml:space="preserve">Les histoires sont des textes narratifs qui peuvent être oraux, écrits ou visuels. Les histoires sont fictives ou inspirées de faits réels, </w:t>
            </w:r>
            <w:r>
              <w:br/>
            </w:r>
            <w:r w:rsidRPr="0024072A">
              <w:t>et elles peuvent servir à acquérir et à transmettre des connaissances, à divertir, à faire connaître le passé historique et à renforcer l'identité.</w:t>
            </w:r>
          </w:p>
          <w:p w14:paraId="19F7209C" w14:textId="77777777" w:rsidR="00CB3D39" w:rsidRPr="0024072A" w:rsidRDefault="00CB3D39" w:rsidP="00CB3D39">
            <w:pPr>
              <w:pStyle w:val="ListParagraph"/>
              <w:rPr>
                <w:b/>
                <w:bCs/>
              </w:rPr>
            </w:pPr>
            <w:r w:rsidRPr="0024072A">
              <w:rPr>
                <w:b/>
              </w:rPr>
              <w:t>comprendre le monde :</w:t>
            </w:r>
            <w:r w:rsidRPr="0024072A">
              <w:t xml:space="preserve"> en explorant, par exemple, les pensées, les sentiments, les connaissances, la culture et l’identité </w:t>
            </w:r>
          </w:p>
          <w:p w14:paraId="346898F6" w14:textId="38AABFB0" w:rsidR="00D772C9" w:rsidRPr="005A1FA5" w:rsidRDefault="00CB3D39" w:rsidP="00CB3D39">
            <w:pPr>
              <w:pStyle w:val="ListParagraph"/>
              <w:spacing w:after="120"/>
            </w:pPr>
            <w:r w:rsidRPr="0024072A">
              <w:rPr>
                <w:b/>
                <w:bCs/>
              </w:rPr>
              <w:t>formes d’expression culturelle :</w:t>
            </w:r>
            <w:r w:rsidRPr="0024072A">
              <w:t xml:space="preserve"> Elles représentent les expériences des personnes d’une culture donnée; par exemple : célébrations, coutumes, folklore, terminologie utilisée, traditions et œuvres de création (livre, peinture, image, sculpture, théâtre, danse, poésie, prose, cinématographie, composition musicale, architecture, etc.).</w:t>
            </w:r>
          </w:p>
        </w:tc>
      </w:tr>
    </w:tbl>
    <w:p w14:paraId="23302D21" w14:textId="77777777" w:rsidR="00D772C9" w:rsidRDefault="00D772C9" w:rsidP="002E545E">
      <w:pPr>
        <w:rPr>
          <w:sz w:val="20"/>
          <w:szCs w:val="20"/>
        </w:rPr>
      </w:pPr>
    </w:p>
    <w:p w14:paraId="3F26298A" w14:textId="77777777" w:rsidR="00BF7F8A" w:rsidRPr="00DD62DB" w:rsidRDefault="00BF7F8A" w:rsidP="002E545E">
      <w:pPr>
        <w:rPr>
          <w:sz w:val="20"/>
          <w:szCs w:val="20"/>
        </w:rPr>
      </w:pPr>
    </w:p>
    <w:p w14:paraId="135872EC" w14:textId="0A40208F" w:rsidR="00ED1AB0" w:rsidRPr="00DD62DB" w:rsidRDefault="00ED1AB0" w:rsidP="002E545E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5A1FA5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0E1C176B" w:rsidR="00ED1AB0" w:rsidRPr="005A1FA5" w:rsidRDefault="00ED1AB0" w:rsidP="001E04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5A1FA5">
              <w:rPr>
                <w:b/>
              </w:rPr>
              <w:tab/>
            </w:r>
            <w:r w:rsidR="004F7F89">
              <w:rPr>
                <w:b/>
                <w:szCs w:val="22"/>
              </w:rPr>
              <w:t>PENDJABI</w:t>
            </w:r>
            <w:r w:rsidR="00FE28EC">
              <w:rPr>
                <w:b/>
                <w:szCs w:val="22"/>
              </w:rPr>
              <w:t xml:space="preserve"> </w:t>
            </w:r>
            <w:r w:rsidR="001E0405">
              <w:rPr>
                <w:b/>
                <w:szCs w:val="22"/>
              </w:rPr>
              <w:t>–</w:t>
            </w:r>
            <w:r w:rsidR="00EC2BAD" w:rsidRPr="00EC2BAD">
              <w:rPr>
                <w:b/>
                <w:szCs w:val="22"/>
              </w:rPr>
              <w:t xml:space="preserve"> </w:t>
            </w:r>
            <w:r w:rsidR="00D916EC" w:rsidRPr="00D916EC">
              <w:rPr>
                <w:b/>
                <w:szCs w:val="22"/>
              </w:rPr>
              <w:t xml:space="preserve">Introduction au </w:t>
            </w:r>
            <w:r w:rsidR="00F41210">
              <w:rPr>
                <w:b/>
                <w:szCs w:val="22"/>
              </w:rPr>
              <w:t>pendjabi</w:t>
            </w:r>
            <w:r w:rsidRPr="005A1FA5">
              <w:rPr>
                <w:b/>
              </w:rPr>
              <w:br/>
              <w:t>Compétences disciplinaires – Approfondissements</w:t>
            </w:r>
            <w:r w:rsidRPr="005A1FA5">
              <w:rPr>
                <w:b/>
              </w:rPr>
              <w:tab/>
            </w:r>
            <w:r w:rsidR="005B1748" w:rsidRPr="005A1FA5">
              <w:rPr>
                <w:b/>
              </w:rPr>
              <w:t>11</w:t>
            </w:r>
            <w:r w:rsidR="00C97E8E" w:rsidRPr="005A1FA5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5A1FA5">
              <w:rPr>
                <w:b/>
              </w:rPr>
              <w:t xml:space="preserve"> année</w:t>
            </w:r>
          </w:p>
        </w:tc>
      </w:tr>
      <w:tr w:rsidR="00ED1AB0" w:rsidRPr="005A1FA5" w14:paraId="01795492" w14:textId="77777777" w:rsidTr="00496DEF">
        <w:tc>
          <w:tcPr>
            <w:tcW w:w="5000" w:type="pct"/>
            <w:shd w:val="clear" w:color="auto" w:fill="F3F3F3"/>
          </w:tcPr>
          <w:p w14:paraId="7E0CEB7A" w14:textId="77777777" w:rsidR="00BF7F8A" w:rsidRPr="0024072A" w:rsidRDefault="00BF7F8A" w:rsidP="00BF7F8A">
            <w:pPr>
              <w:pStyle w:val="ListParagraphwithsub-bullets"/>
              <w:spacing w:before="120"/>
            </w:pPr>
            <w:r w:rsidRPr="00BF7F8A">
              <w:rPr>
                <w:b/>
              </w:rPr>
              <w:t>intonation, le ton de la voix :</w:t>
            </w:r>
            <w:r w:rsidRPr="0024072A">
              <w:t xml:space="preserve"> par exemple</w:t>
            </w:r>
          </w:p>
          <w:p w14:paraId="50B29431" w14:textId="77777777" w:rsidR="00BF7F8A" w:rsidRPr="0024072A" w:rsidRDefault="00BF7F8A" w:rsidP="00BF7F8A">
            <w:pPr>
              <w:pStyle w:val="ListParagraphindent"/>
            </w:pPr>
            <w:r w:rsidRPr="0024072A">
              <w:t>faire la distinction entre un énoncé et une question</w:t>
            </w:r>
          </w:p>
          <w:p w14:paraId="6DEBF2CA" w14:textId="77777777" w:rsidR="00BF7F8A" w:rsidRPr="0024072A" w:rsidRDefault="00BF7F8A" w:rsidP="00BF7F8A">
            <w:pPr>
              <w:pStyle w:val="ListparagraphidentLastsub-bullet"/>
            </w:pPr>
            <w:r w:rsidRPr="0024072A">
              <w:t>reconnaître l’humeur ou l’émotion de l’orateur et la manière dont elle est liée à son message</w:t>
            </w:r>
          </w:p>
          <w:p w14:paraId="0FCE2B2B" w14:textId="77777777" w:rsidR="00BF7F8A" w:rsidRPr="008D06A1" w:rsidRDefault="00BF7F8A" w:rsidP="00BF7F8A">
            <w:pPr>
              <w:pStyle w:val="ListParagraph"/>
            </w:pPr>
            <w:r w:rsidRPr="0024072A">
              <w:rPr>
                <w:b/>
              </w:rPr>
              <w:t>information importante :</w:t>
            </w:r>
            <w:r w:rsidRPr="0024072A">
              <w:t xml:space="preserve"> répondre aux questions qui, quoi, où, quand, pourquoi et comment (p. ex.</w:t>
            </w:r>
            <w:r w:rsidRPr="008D06A1">
              <w:t xml:space="preserve"> </w:t>
            </w:r>
            <w:r w:rsidRPr="005A337A">
              <w:rPr>
                <w:rFonts w:ascii="AnmolLipi" w:hAnsi="AnmolLipi"/>
              </w:rPr>
              <w:t>kI?, ikvyN?, ik`Qy?, kdoN?, ieh kI hY?, ikhVw/ikhVI?, Aqy au`qr dyxy?</w:t>
            </w:r>
            <w:r w:rsidRPr="008D06A1">
              <w:t xml:space="preserve">) </w:t>
            </w:r>
          </w:p>
          <w:p w14:paraId="735AC6CB" w14:textId="61C7394F" w:rsidR="00BF7F8A" w:rsidRPr="0024072A" w:rsidRDefault="00BF7F8A" w:rsidP="00BF7F8A">
            <w:pPr>
              <w:pStyle w:val="ListParagraph"/>
            </w:pPr>
            <w:r w:rsidRPr="0024072A">
              <w:rPr>
                <w:b/>
              </w:rPr>
              <w:t>textes :</w:t>
            </w:r>
            <w:r w:rsidRPr="0024072A">
              <w:t xml:space="preserve"> « </w:t>
            </w:r>
            <w:r w:rsidRPr="0024072A">
              <w:rPr>
                <w:iCs/>
              </w:rPr>
              <w:t>Texte »</w:t>
            </w:r>
            <w:r w:rsidRPr="0024072A">
              <w:t xml:space="preserve"> est un terme générique qui fait référence à toutes les formes de communications orale, écrite, visuelle et numérique. </w:t>
            </w:r>
            <w:r>
              <w:br/>
            </w:r>
            <w:r w:rsidRPr="0024072A">
              <w:t xml:space="preserve">Les éléments oraux, écrits et visuels peuvent également être combinés (dans des représentations théâtrales, des bandes dessinées, </w:t>
            </w:r>
            <w:r>
              <w:br/>
            </w:r>
            <w:r w:rsidRPr="0024072A">
              <w:t>des films, des pages Web, des publicités, etc.).</w:t>
            </w:r>
          </w:p>
          <w:p w14:paraId="7C894018" w14:textId="77777777" w:rsidR="00BF7F8A" w:rsidRPr="0024072A" w:rsidRDefault="00BF7F8A" w:rsidP="00BF7F8A">
            <w:pPr>
              <w:pStyle w:val="ListParagraph"/>
            </w:pPr>
            <w:r w:rsidRPr="0024072A">
              <w:rPr>
                <w:b/>
              </w:rPr>
              <w:t>Comprendre et relater :</w:t>
            </w:r>
            <w:r w:rsidRPr="0024072A">
              <w:t xml:space="preserve"> relever l’information importante dans les histoires orales et écrites, et relater des histoires à l’oral et à l’écrit </w:t>
            </w:r>
          </w:p>
          <w:p w14:paraId="386CDDB8" w14:textId="32EE7F51" w:rsidR="00BF7F8A" w:rsidRPr="0024072A" w:rsidRDefault="00BF7F8A" w:rsidP="00BF7F8A">
            <w:pPr>
              <w:pStyle w:val="ListParagraph"/>
              <w:rPr>
                <w:iCs/>
              </w:rPr>
            </w:pPr>
            <w:r w:rsidRPr="0024072A">
              <w:rPr>
                <w:b/>
              </w:rPr>
              <w:t>stratégies d’apprentissage d’une langue :</w:t>
            </w:r>
            <w:r w:rsidRPr="0024072A">
              <w:rPr>
                <w:bCs/>
              </w:rPr>
              <w:t xml:space="preserve"> </w:t>
            </w:r>
            <w:r w:rsidRPr="0024072A">
              <w:t xml:space="preserve">p. ex. interprétation des gestes, des expressions du visage, de l’intonation, du ton de la voix </w:t>
            </w:r>
            <w:r>
              <w:br/>
            </w:r>
            <w:r w:rsidRPr="0024072A">
              <w:t xml:space="preserve">et des indices contextuels; utilisation de connaissances antérieures, de mots familiers et de mots apparentés </w:t>
            </w:r>
          </w:p>
          <w:p w14:paraId="43829F34" w14:textId="77777777" w:rsidR="00BF7F8A" w:rsidRPr="0024072A" w:rsidRDefault="00BF7F8A" w:rsidP="00BF7F8A">
            <w:pPr>
              <w:pStyle w:val="ListParagraph"/>
              <w:rPr>
                <w:b/>
                <w:bCs/>
              </w:rPr>
            </w:pPr>
            <w:r w:rsidRPr="0024072A">
              <w:rPr>
                <w:b/>
              </w:rPr>
              <w:t>indices non verbaux :</w:t>
            </w:r>
            <w:r w:rsidRPr="0024072A">
              <w:t xml:space="preserve"> p. ex. gestes, expressions du visage, images, accessoires </w:t>
            </w:r>
          </w:p>
          <w:p w14:paraId="0522730C" w14:textId="77777777" w:rsidR="00BF7F8A" w:rsidRPr="00BF7F8A" w:rsidRDefault="00BF7F8A" w:rsidP="00BF7F8A">
            <w:pPr>
              <w:pStyle w:val="ListParagraph"/>
              <w:rPr>
                <w:b/>
              </w:rPr>
            </w:pPr>
            <w:r w:rsidRPr="00BF7F8A">
              <w:rPr>
                <w:b/>
              </w:rPr>
              <w:t>Raconter :</w:t>
            </w:r>
            <w:r w:rsidRPr="00BF7F8A">
              <w:rPr>
                <w:b/>
                <w:iCs/>
              </w:rPr>
              <w:t xml:space="preserve"> </w:t>
            </w:r>
          </w:p>
          <w:p w14:paraId="15A44F15" w14:textId="77777777" w:rsidR="00BF7F8A" w:rsidRPr="0024072A" w:rsidRDefault="00BF7F8A" w:rsidP="00BF7F8A">
            <w:pPr>
              <w:pStyle w:val="ListParagraphindent"/>
              <w:rPr>
                <w:b/>
              </w:rPr>
            </w:pPr>
            <w:r w:rsidRPr="0024072A">
              <w:t>employer des marqueurs de temps et de transition pour montrer la progression logique d’un récit</w:t>
            </w:r>
          </w:p>
          <w:p w14:paraId="5B7A8330" w14:textId="77777777" w:rsidR="00BF7F8A" w:rsidRPr="0024072A" w:rsidRDefault="00BF7F8A" w:rsidP="00BF7F8A">
            <w:pPr>
              <w:pStyle w:val="ListparagraphidentLastsub-bullet"/>
              <w:rPr>
                <w:b/>
              </w:rPr>
            </w:pPr>
            <w:r w:rsidRPr="0024072A">
              <w:t>utiliser les cadres temporels du passé, du présent et du futur</w:t>
            </w:r>
          </w:p>
          <w:p w14:paraId="0607A8E0" w14:textId="02970452" w:rsidR="00BF7F8A" w:rsidRPr="0024072A" w:rsidRDefault="00BF7F8A" w:rsidP="00BF7F8A">
            <w:pPr>
              <w:pStyle w:val="ListParagraph"/>
              <w:rPr>
                <w:b/>
              </w:rPr>
            </w:pPr>
            <w:r w:rsidRPr="0024072A">
              <w:rPr>
                <w:b/>
              </w:rPr>
              <w:t>Échanger des idées :</w:t>
            </w:r>
            <w:r w:rsidRPr="0024072A">
              <w:t xml:space="preserve"> avec les pairs, les enseignants et les membres de la communauté au sens large; peut inclure des conversations </w:t>
            </w:r>
            <w:r>
              <w:br/>
            </w:r>
            <w:r w:rsidRPr="0024072A">
              <w:t>en ligne ou des forums sur Internet</w:t>
            </w:r>
          </w:p>
          <w:p w14:paraId="6EE64415" w14:textId="77777777" w:rsidR="00BF7F8A" w:rsidRPr="0024072A" w:rsidRDefault="00BF7F8A" w:rsidP="00BF7F8A">
            <w:pPr>
              <w:pStyle w:val="ListParagraph"/>
              <w:rPr>
                <w:b/>
              </w:rPr>
            </w:pPr>
            <w:r w:rsidRPr="0024072A">
              <w:rPr>
                <w:b/>
              </w:rPr>
              <w:t>Chercher à clarifier et vérifier :</w:t>
            </w:r>
            <w:r w:rsidRPr="0024072A">
              <w:t xml:space="preserve"> p. ex. répéter ou demander de répéter, remplacer des mots, reformuler ou réitérer</w:t>
            </w:r>
          </w:p>
          <w:p w14:paraId="12CEC800" w14:textId="768D729C" w:rsidR="00BF7F8A" w:rsidRPr="0024072A" w:rsidRDefault="00BF7F8A" w:rsidP="00BF7F8A">
            <w:pPr>
              <w:pStyle w:val="ListParagraph"/>
              <w:spacing w:after="120"/>
            </w:pPr>
            <w:r w:rsidRPr="0024072A">
              <w:rPr>
                <w:b/>
              </w:rPr>
              <w:t>format de présentation :</w:t>
            </w:r>
            <w:r w:rsidRPr="0024072A">
              <w:t xml:space="preserve"> p. ex. numérique, visuel, verbal; à l’aide de graphiques, de diagrammes, d’illustrations, de musique, de photos, </w:t>
            </w:r>
            <w:r>
              <w:br/>
            </w:r>
            <w:r w:rsidRPr="0024072A">
              <w:t xml:space="preserve">de vidéos, d’accessoires, de moyens d’expression numériques, etc. </w:t>
            </w:r>
          </w:p>
          <w:p w14:paraId="21DB70E8" w14:textId="2B72CD0D" w:rsidR="00BF7F8A" w:rsidRPr="0024072A" w:rsidRDefault="00BF7F8A" w:rsidP="00BF7F8A">
            <w:pPr>
              <w:pStyle w:val="ListParagraph"/>
              <w:spacing w:before="200"/>
              <w:rPr>
                <w:b/>
              </w:rPr>
            </w:pPr>
            <w:r w:rsidRPr="0024072A">
              <w:rPr>
                <w:b/>
                <w:bCs/>
              </w:rPr>
              <w:lastRenderedPageBreak/>
              <w:t>Vivre des expériences :</w:t>
            </w:r>
            <w:r w:rsidRPr="0024072A">
              <w:rPr>
                <w:bCs/>
              </w:rPr>
              <w:t xml:space="preserve"> </w:t>
            </w:r>
            <w:r w:rsidRPr="0024072A">
              <w:t xml:space="preserve">p. ex. blogues, visites de classes et d'écoles (y compris les visites en ligne ou virtuelles), concerts, échanges, </w:t>
            </w:r>
            <w:r>
              <w:br/>
            </w:r>
            <w:r w:rsidRPr="0024072A">
              <w:t>fêtes, films, lettres, pièces de théâtre, médias sociaux, magasins et restaurants qui offrent un service en pendjabi</w:t>
            </w:r>
          </w:p>
          <w:p w14:paraId="7A874400" w14:textId="77777777" w:rsidR="00BF7F8A" w:rsidRPr="0024072A" w:rsidRDefault="00BF7F8A" w:rsidP="00BF7F8A">
            <w:pPr>
              <w:pStyle w:val="ListParagraph"/>
              <w:rPr>
                <w:b/>
                <w:bCs/>
              </w:rPr>
            </w:pPr>
            <w:r w:rsidRPr="0024072A">
              <w:rPr>
                <w:b/>
                <w:bCs/>
              </w:rPr>
              <w:t>optique culturelle :</w:t>
            </w:r>
            <w:r w:rsidRPr="0024072A">
              <w:rPr>
                <w:bCs/>
              </w:rPr>
              <w:t xml:space="preserve"> p. ex. valeurs, pratiques, traditions, perceptions</w:t>
            </w:r>
          </w:p>
          <w:p w14:paraId="5F8EB9C3" w14:textId="3248BE65" w:rsidR="00ED1AB0" w:rsidRPr="005A1FA5" w:rsidRDefault="00BF7F8A" w:rsidP="00BF7F8A">
            <w:pPr>
              <w:pStyle w:val="ListParagraph"/>
              <w:spacing w:after="120"/>
            </w:pPr>
            <w:r w:rsidRPr="0024072A">
              <w:rPr>
                <w:b/>
              </w:rPr>
              <w:t>méthodes d’acquisition du savoir :</w:t>
            </w:r>
            <w:r w:rsidRPr="0024072A">
              <w:t xml:space="preserve"> p. ex. Premières Nations, Métis et Inuits; ou propres au genre, à un sujet ou à une discipline, culturelles incarnées, intuitives</w:t>
            </w:r>
          </w:p>
        </w:tc>
      </w:tr>
    </w:tbl>
    <w:p w14:paraId="6416FEA7" w14:textId="77777777" w:rsidR="00BF7F8A" w:rsidRDefault="00BF7F8A"/>
    <w:p w14:paraId="61342B13" w14:textId="77777777" w:rsidR="00BF7F8A" w:rsidRDefault="00BF7F8A"/>
    <w:p w14:paraId="308E2D55" w14:textId="29657303" w:rsidR="00DD62DB" w:rsidRDefault="00DD62D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5A1FA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55E41C5" w:rsidR="00F9586F" w:rsidRPr="005A1FA5" w:rsidRDefault="0059376F" w:rsidP="001E0405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5A1FA5">
              <w:rPr>
                <w:b/>
                <w:color w:val="FFFFFF" w:themeColor="background1"/>
              </w:rPr>
              <w:tab/>
            </w:r>
            <w:r w:rsidR="004F7F89">
              <w:rPr>
                <w:b/>
                <w:color w:val="FFFFFF" w:themeColor="background1"/>
              </w:rPr>
              <w:t>PENDJABI</w:t>
            </w:r>
            <w:r w:rsidR="00FE28EC">
              <w:rPr>
                <w:b/>
                <w:color w:val="FFFFFF" w:themeColor="background1"/>
              </w:rPr>
              <w:t xml:space="preserve"> </w:t>
            </w:r>
            <w:r w:rsidR="001E0405">
              <w:rPr>
                <w:b/>
                <w:color w:val="FFFFFF" w:themeColor="background1"/>
              </w:rPr>
              <w:t>–</w:t>
            </w:r>
            <w:r w:rsidR="00EC2BAD" w:rsidRPr="00EC2BAD">
              <w:rPr>
                <w:b/>
                <w:color w:val="FFFFFF" w:themeColor="background1"/>
              </w:rPr>
              <w:t xml:space="preserve"> </w:t>
            </w:r>
            <w:r w:rsidR="00D916EC" w:rsidRPr="00D916EC">
              <w:rPr>
                <w:b/>
                <w:color w:val="FFFFFF" w:themeColor="background1"/>
              </w:rPr>
              <w:t xml:space="preserve">Introduction au </w:t>
            </w:r>
            <w:r w:rsidR="00F41210">
              <w:rPr>
                <w:b/>
                <w:color w:val="FFFFFF" w:themeColor="background1"/>
              </w:rPr>
              <w:t>pendjabi</w:t>
            </w:r>
            <w:r w:rsidRPr="005A1FA5">
              <w:rPr>
                <w:b/>
                <w:color w:val="FFFFFF" w:themeColor="background1"/>
              </w:rPr>
              <w:br/>
              <w:t>Conten</w:t>
            </w:r>
            <w:r w:rsidR="00737D76" w:rsidRPr="005A1FA5">
              <w:rPr>
                <w:b/>
                <w:color w:val="FFFFFF" w:themeColor="background1"/>
              </w:rPr>
              <w:t>u</w:t>
            </w:r>
            <w:r w:rsidRPr="005A1FA5">
              <w:rPr>
                <w:b/>
                <w:color w:val="FFFFFF" w:themeColor="background1"/>
              </w:rPr>
              <w:t xml:space="preserve"> – </w:t>
            </w:r>
            <w:r w:rsidR="00737D76" w:rsidRPr="005A1FA5">
              <w:rPr>
                <w:b/>
                <w:color w:val="FFFFFF" w:themeColor="background1"/>
              </w:rPr>
              <w:t>Approfondissements</w:t>
            </w:r>
            <w:r w:rsidRPr="005A1FA5">
              <w:rPr>
                <w:b/>
                <w:color w:val="FFFFFF" w:themeColor="background1"/>
              </w:rPr>
              <w:tab/>
            </w:r>
            <w:r w:rsidR="005B1748" w:rsidRPr="005A1FA5">
              <w:rPr>
                <w:b/>
                <w:color w:val="FFFFFF" w:themeColor="background1"/>
              </w:rPr>
              <w:t>11</w:t>
            </w:r>
            <w:r w:rsidR="00C97E8E" w:rsidRPr="005A1FA5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5A1FA5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5A1FA5" w14:paraId="7A2216BF" w14:textId="77777777">
        <w:tc>
          <w:tcPr>
            <w:tcW w:w="5000" w:type="pct"/>
            <w:shd w:val="clear" w:color="auto" w:fill="F3F3F3"/>
          </w:tcPr>
          <w:p w14:paraId="76F9267E" w14:textId="77777777" w:rsidR="00BF7F8A" w:rsidRPr="0024072A" w:rsidRDefault="00BF7F8A" w:rsidP="00BF7F8A">
            <w:pPr>
              <w:pStyle w:val="ListParagraph"/>
              <w:spacing w:before="120"/>
              <w:rPr>
                <w:b/>
                <w:bCs/>
              </w:rPr>
            </w:pPr>
            <w:r w:rsidRPr="0024072A">
              <w:rPr>
                <w:b/>
              </w:rPr>
              <w:t>Alphabet :</w:t>
            </w:r>
            <w:r w:rsidRPr="0024072A">
              <w:t xml:space="preserve"> dans l’alphabet gurmukhi, chaque symbole est associé à un son</w:t>
            </w:r>
          </w:p>
          <w:p w14:paraId="4F469A05" w14:textId="77777777" w:rsidR="00BF7F8A" w:rsidRPr="0024072A" w:rsidRDefault="00BF7F8A" w:rsidP="00BF7F8A">
            <w:pPr>
              <w:pStyle w:val="ListParagraph"/>
              <w:rPr>
                <w:b/>
                <w:bCs/>
              </w:rPr>
            </w:pPr>
            <w:r w:rsidRPr="0024072A">
              <w:rPr>
                <w:b/>
              </w:rPr>
              <w:t>symboles, sons :</w:t>
            </w:r>
            <w:r w:rsidRPr="0024072A">
              <w:t xml:space="preserve"> p. ex. structure, formations et sons du gurmukhi</w:t>
            </w:r>
          </w:p>
          <w:p w14:paraId="628FA188" w14:textId="33C2F380" w:rsidR="00BF7F8A" w:rsidRPr="008D06A1" w:rsidRDefault="00BF7F8A" w:rsidP="00BF7F8A">
            <w:pPr>
              <w:pStyle w:val="ListParagraph"/>
              <w:rPr>
                <w:b/>
                <w:bCs/>
              </w:rPr>
            </w:pPr>
            <w:r w:rsidRPr="0024072A">
              <w:rPr>
                <w:b/>
              </w:rPr>
              <w:t>phonèmes :</w:t>
            </w:r>
            <w:r w:rsidRPr="0024072A">
              <w:t xml:space="preserve"> sons consonantiques, sons vocaliques courts et longs, nasalisation (p. ex.</w:t>
            </w:r>
            <w:r w:rsidRPr="008D06A1">
              <w:t xml:space="preserve"> </w:t>
            </w:r>
            <w:r w:rsidRPr="005A337A">
              <w:rPr>
                <w:rFonts w:ascii="AnmolLipi" w:hAnsi="AnmolLipi"/>
              </w:rPr>
              <w:t>ibMdI, it`pI</w:t>
            </w:r>
            <w:r w:rsidRPr="008D06A1">
              <w:t>)</w:t>
            </w:r>
            <w:r w:rsidRPr="0024072A">
              <w:t>, accents</w:t>
            </w:r>
            <w:r w:rsidRPr="008D06A1">
              <w:t xml:space="preserve"> </w:t>
            </w:r>
            <w:r w:rsidRPr="0024072A">
              <w:t>(p. ex.</w:t>
            </w:r>
            <w:r w:rsidRPr="008D06A1">
              <w:t xml:space="preserve"> </w:t>
            </w:r>
            <w:r w:rsidRPr="00CE78D2">
              <w:rPr>
                <w:rFonts w:ascii="AnmolLipi" w:hAnsi="AnmolLipi"/>
              </w:rPr>
              <w:t>adhak</w:t>
            </w:r>
            <w:r w:rsidRPr="008D06A1">
              <w:t>)</w:t>
            </w:r>
            <w:r w:rsidRPr="0024072A">
              <w:t xml:space="preserve">, sons complexes </w:t>
            </w:r>
            <w:r>
              <w:br/>
            </w:r>
            <w:r w:rsidRPr="0024072A">
              <w:t xml:space="preserve">(p. ex. </w:t>
            </w:r>
            <w:r w:rsidRPr="00CE78D2">
              <w:rPr>
                <w:rFonts w:ascii="AnmolLipi" w:hAnsi="AnmolLipi"/>
              </w:rPr>
              <w:t>rara</w:t>
            </w:r>
            <w:r w:rsidRPr="008D06A1">
              <w:t xml:space="preserve"> </w:t>
            </w:r>
            <w:r w:rsidRPr="0024072A">
              <w:t>dans</w:t>
            </w:r>
            <w:r w:rsidRPr="008D06A1">
              <w:t xml:space="preserve"> </w:t>
            </w:r>
            <w:r w:rsidRPr="00CE78D2">
              <w:rPr>
                <w:rFonts w:ascii="AnmolLipi" w:hAnsi="AnmolLipi"/>
              </w:rPr>
              <w:t>foot-kR</w:t>
            </w:r>
            <w:r w:rsidRPr="008D06A1">
              <w:t xml:space="preserve"> </w:t>
            </w:r>
            <w:r w:rsidRPr="0024072A">
              <w:t>et</w:t>
            </w:r>
            <w:r w:rsidRPr="008D06A1">
              <w:t xml:space="preserve"> </w:t>
            </w:r>
            <w:r w:rsidRPr="00CE78D2">
              <w:rPr>
                <w:rFonts w:ascii="AnmolLipi" w:hAnsi="AnmolLipi"/>
              </w:rPr>
              <w:t>haha</w:t>
            </w:r>
            <w:r w:rsidRPr="008D06A1">
              <w:t xml:space="preserve"> </w:t>
            </w:r>
            <w:r w:rsidRPr="0024072A">
              <w:t>dans</w:t>
            </w:r>
            <w:r w:rsidRPr="008D06A1">
              <w:t xml:space="preserve"> </w:t>
            </w:r>
            <w:r w:rsidRPr="00CE78D2">
              <w:rPr>
                <w:rFonts w:ascii="AnmolLipi" w:hAnsi="AnmolLipi"/>
              </w:rPr>
              <w:t>foot-pVH</w:t>
            </w:r>
            <w:r w:rsidRPr="008D06A1">
              <w:t>)</w:t>
            </w:r>
          </w:p>
          <w:p w14:paraId="3B34D7F1" w14:textId="77777777" w:rsidR="00BF7F8A" w:rsidRPr="0024072A" w:rsidRDefault="00BF7F8A" w:rsidP="00BF7F8A">
            <w:pPr>
              <w:pStyle w:val="ListParagraph"/>
            </w:pPr>
            <w:r w:rsidRPr="0024072A">
              <w:rPr>
                <w:b/>
              </w:rPr>
              <w:t xml:space="preserve">combinaisons de lettres : </w:t>
            </w:r>
            <w:r w:rsidRPr="0024072A">
              <w:t xml:space="preserve">p. ex. mots qui riment et combinaisons de lettres produisant le même son </w:t>
            </w:r>
          </w:p>
          <w:p w14:paraId="754D03DA" w14:textId="77777777" w:rsidR="00BF7F8A" w:rsidRPr="008D06A1" w:rsidRDefault="00BF7F8A" w:rsidP="00BF7F8A">
            <w:pPr>
              <w:pStyle w:val="ListParagraph"/>
            </w:pPr>
            <w:r w:rsidRPr="0024072A">
              <w:rPr>
                <w:b/>
              </w:rPr>
              <w:t>questions :</w:t>
            </w:r>
            <w:r w:rsidRPr="0024072A">
              <w:t xml:space="preserve"> p. ex. </w:t>
            </w:r>
            <w:r w:rsidRPr="005A337A">
              <w:rPr>
                <w:rFonts w:ascii="AnmolLipi" w:hAnsi="AnmolLipi"/>
              </w:rPr>
              <w:t>kI?, ikvyN?, ik`Qy?, kdoN?, ieh kI hY?, ikhVw/ikhVI?, Aqy au`qr dyxy</w:t>
            </w:r>
          </w:p>
          <w:p w14:paraId="2699B117" w14:textId="77777777" w:rsidR="00BF7F8A" w:rsidRPr="008D06A1" w:rsidRDefault="00BF7F8A" w:rsidP="00BF7F8A">
            <w:pPr>
              <w:pStyle w:val="ListParagraph"/>
            </w:pPr>
            <w:r w:rsidRPr="0024072A">
              <w:rPr>
                <w:b/>
              </w:rPr>
              <w:t>modes d’adresse :</w:t>
            </w:r>
            <w:r w:rsidRPr="0024072A">
              <w:t xml:space="preserve"> p. ex.</w:t>
            </w:r>
            <w:r w:rsidRPr="008D06A1">
              <w:t xml:space="preserve"> </w:t>
            </w:r>
            <w:r w:rsidRPr="005A337A">
              <w:rPr>
                <w:rFonts w:ascii="AnmolLipi" w:hAnsi="AnmolLipi"/>
              </w:rPr>
              <w:t>qUM, qusIN</w:t>
            </w:r>
          </w:p>
          <w:p w14:paraId="712B9299" w14:textId="77777777" w:rsidR="00BF7F8A" w:rsidRPr="00BF7F8A" w:rsidRDefault="00BF7F8A" w:rsidP="00BF7F8A">
            <w:pPr>
              <w:pStyle w:val="ListParagraphwithsub-bullets"/>
              <w:rPr>
                <w:b/>
                <w:bCs/>
              </w:rPr>
            </w:pPr>
            <w:r w:rsidRPr="00BF7F8A">
              <w:rPr>
                <w:b/>
              </w:rPr>
              <w:t xml:space="preserve">genre et nombre : </w:t>
            </w:r>
          </w:p>
          <w:p w14:paraId="2FA3F038" w14:textId="77777777" w:rsidR="00BF7F8A" w:rsidRPr="0024072A" w:rsidRDefault="00BF7F8A" w:rsidP="00BF7F8A">
            <w:pPr>
              <w:pStyle w:val="ListParagraphindent"/>
            </w:pPr>
            <w:r w:rsidRPr="0024072A">
              <w:t>formes de base des mots selon leur genre</w:t>
            </w:r>
          </w:p>
          <w:p w14:paraId="3F4358E7" w14:textId="77777777" w:rsidR="00BF7F8A" w:rsidRPr="008D06A1" w:rsidRDefault="00BF7F8A" w:rsidP="00BF7F8A">
            <w:pPr>
              <w:pStyle w:val="ListParagraphindent"/>
            </w:pPr>
            <w:r w:rsidRPr="0024072A">
              <w:t>terminaisons variables, p. ex.</w:t>
            </w:r>
            <w:r w:rsidRPr="008D06A1">
              <w:t xml:space="preserve"> </w:t>
            </w:r>
            <w:r w:rsidRPr="008E44DE">
              <w:rPr>
                <w:rFonts w:ascii="AnmolLipi" w:hAnsi="AnmolLipi"/>
              </w:rPr>
              <w:t>krdw jW krdI</w:t>
            </w:r>
          </w:p>
          <w:p w14:paraId="15B6777A" w14:textId="77777777" w:rsidR="00BF7F8A" w:rsidRPr="008D06A1" w:rsidRDefault="00BF7F8A" w:rsidP="00BF7F8A">
            <w:pPr>
              <w:pStyle w:val="ListParagraphindent"/>
            </w:pPr>
            <w:r w:rsidRPr="008D06A1">
              <w:t>f</w:t>
            </w:r>
            <w:r w:rsidRPr="0024072A">
              <w:t>ormes singulières et plurielles des mots (nombre), p. ex.</w:t>
            </w:r>
            <w:r w:rsidRPr="008D06A1">
              <w:t xml:space="preserve"> </w:t>
            </w:r>
            <w:r w:rsidRPr="008E44DE">
              <w:rPr>
                <w:rFonts w:ascii="AnmolLipi" w:hAnsi="AnmolLipi"/>
              </w:rPr>
              <w:t>kursI Aqy kursIAW</w:t>
            </w:r>
            <w:r w:rsidRPr="008D06A1">
              <w:t xml:space="preserve"> </w:t>
            </w:r>
          </w:p>
          <w:p w14:paraId="141249D5" w14:textId="77777777" w:rsidR="00BF7F8A" w:rsidRPr="0024072A" w:rsidRDefault="00BF7F8A" w:rsidP="00BF7F8A">
            <w:pPr>
              <w:pStyle w:val="ListparagraphidentLastsub-bullet"/>
            </w:pPr>
            <w:r w:rsidRPr="0024072A">
              <w:t xml:space="preserve">chiffres </w:t>
            </w:r>
          </w:p>
          <w:p w14:paraId="1CA720EF" w14:textId="77777777" w:rsidR="00BF7F8A" w:rsidRPr="0024072A" w:rsidRDefault="00BF7F8A" w:rsidP="00BF7F8A">
            <w:pPr>
              <w:pStyle w:val="ListParagraph"/>
              <w:spacing w:after="40"/>
            </w:pPr>
            <w:r w:rsidRPr="0024072A">
              <w:rPr>
                <w:b/>
              </w:rPr>
              <w:t>descriptions </w:t>
            </w:r>
            <w:r w:rsidRPr="0024072A">
              <w:rPr>
                <w:b/>
                <w:bCs/>
              </w:rPr>
              <w:t>:</w:t>
            </w:r>
            <w:r w:rsidRPr="0024072A">
              <w:t xml:space="preserve"> par exemple</w:t>
            </w:r>
          </w:p>
          <w:p w14:paraId="52A73F46" w14:textId="77777777" w:rsidR="00BF7F8A" w:rsidRPr="0024072A" w:rsidRDefault="00BF7F8A" w:rsidP="00BF7F8A">
            <w:pPr>
              <w:pStyle w:val="ListParagraphindent"/>
            </w:pPr>
            <w:r w:rsidRPr="0024072A">
              <w:t>famille, animaux domestiques, amis, membres de la communauté, personnages dans des textes</w:t>
            </w:r>
          </w:p>
          <w:p w14:paraId="75334116" w14:textId="77777777" w:rsidR="00BF7F8A" w:rsidRPr="0024072A" w:rsidRDefault="00BF7F8A" w:rsidP="00BF7F8A">
            <w:pPr>
              <w:pStyle w:val="ListParagraphindent"/>
            </w:pPr>
            <w:r w:rsidRPr="0024072A">
              <w:t>objets dans la classe, l’école, la maison, la communauté</w:t>
            </w:r>
          </w:p>
          <w:p w14:paraId="4A54CEF8" w14:textId="77777777" w:rsidR="00BF7F8A" w:rsidRPr="0024072A" w:rsidRDefault="00BF7F8A" w:rsidP="00BF7F8A">
            <w:pPr>
              <w:pStyle w:val="ListparagraphidentLastsub-bullet"/>
            </w:pPr>
            <w:r w:rsidRPr="0024072A">
              <w:t>endroit et moment des événements</w:t>
            </w:r>
          </w:p>
          <w:p w14:paraId="3294E22D" w14:textId="6A3D4AF3" w:rsidR="00BF7F8A" w:rsidRPr="008D06A1" w:rsidRDefault="00BF7F8A" w:rsidP="00BF7F8A">
            <w:pPr>
              <w:pStyle w:val="ListParagraph"/>
            </w:pPr>
            <w:r w:rsidRPr="0024072A">
              <w:rPr>
                <w:b/>
              </w:rPr>
              <w:t>opinions et préférences :</w:t>
            </w:r>
            <w:r w:rsidRPr="0024072A">
              <w:t xml:space="preserve"> p. ex.</w:t>
            </w:r>
            <w:r w:rsidRPr="008D06A1">
              <w:t xml:space="preserve"> </w:t>
            </w:r>
            <w:r w:rsidRPr="00D0464F">
              <w:rPr>
                <w:rFonts w:ascii="AnmolLipi" w:hAnsi="AnmolLipi"/>
              </w:rPr>
              <w:t xml:space="preserve">mYN ies nUM psMd krdw hW ikauik... mYN ies nUM psMd nhIN krdw ikauik; auh frdw/frdI hY…; myry ihswb nwl/myry muqwbk…; </w:t>
            </w:r>
            <w:r>
              <w:rPr>
                <w:rFonts w:ascii="AnmolLipi" w:hAnsi="AnmolLipi"/>
              </w:rPr>
              <w:br/>
            </w:r>
            <w:r w:rsidRPr="00D0464F">
              <w:rPr>
                <w:rFonts w:ascii="AnmolLipi" w:hAnsi="AnmolLipi"/>
              </w:rPr>
              <w:t>mYN ieh socdw/socdI…; myrI rwie nwl…</w:t>
            </w:r>
            <w:r w:rsidRPr="008D06A1">
              <w:t xml:space="preserve"> </w:t>
            </w:r>
            <w:r w:rsidRPr="0024072A">
              <w:t>(emploi fréquent du présent de l’indicatif)</w:t>
            </w:r>
          </w:p>
          <w:p w14:paraId="14B5A946" w14:textId="4C71309B" w:rsidR="00BF7F8A" w:rsidRPr="008D06A1" w:rsidRDefault="00BF7F8A" w:rsidP="00BF7F8A">
            <w:pPr>
              <w:pStyle w:val="ListParagraph"/>
              <w:spacing w:after="120"/>
              <w:rPr>
                <w:rFonts w:eastAsia="Calibri"/>
              </w:rPr>
            </w:pPr>
            <w:r w:rsidRPr="0024072A">
              <w:rPr>
                <w:b/>
              </w:rPr>
              <w:t>Cadres temporels :</w:t>
            </w:r>
            <w:r w:rsidRPr="0024072A">
              <w:t xml:space="preserve"> un changement de cadre temporel nécessite une reformulation (p. ex.</w:t>
            </w:r>
            <w:r w:rsidRPr="008D06A1">
              <w:t xml:space="preserve"> </w:t>
            </w:r>
            <w:r w:rsidRPr="00D0464F">
              <w:rPr>
                <w:rFonts w:ascii="AnmolLipi" w:hAnsi="AnmolLipi"/>
              </w:rPr>
              <w:t xml:space="preserve">mYN A`j Q`ikAw/Q`kI hoieAw/hoeI hW; mYN k`l rotI KwDI sI; </w:t>
            </w:r>
            <w:r>
              <w:rPr>
                <w:rFonts w:ascii="AnmolLipi" w:hAnsi="AnmolLipi"/>
              </w:rPr>
              <w:br/>
            </w:r>
            <w:r w:rsidRPr="00D0464F">
              <w:rPr>
                <w:rFonts w:ascii="AnmolLipi" w:hAnsi="AnmolLipi"/>
              </w:rPr>
              <w:t>AsIN k`LH ƒ hwkI ^yfWgy</w:t>
            </w:r>
            <w:r w:rsidRPr="008D06A1">
              <w:t>)</w:t>
            </w:r>
          </w:p>
          <w:p w14:paraId="182B9C80" w14:textId="77777777" w:rsidR="00BF7F8A" w:rsidRPr="0024072A" w:rsidRDefault="00BF7F8A" w:rsidP="00BF7F8A">
            <w:pPr>
              <w:pStyle w:val="ListParagraph"/>
              <w:spacing w:before="200"/>
            </w:pPr>
            <w:r w:rsidRPr="0024072A">
              <w:rPr>
                <w:b/>
              </w:rPr>
              <w:lastRenderedPageBreak/>
              <w:t>histoires orales :</w:t>
            </w:r>
            <w:r w:rsidRPr="0024072A">
              <w:t xml:space="preserve"> p. ex. les conversations avec un aîné au sujet des célébrations, des traditions et des protocoles</w:t>
            </w:r>
          </w:p>
          <w:p w14:paraId="5C1FAB92" w14:textId="77777777" w:rsidR="00BF7F8A" w:rsidRPr="0024072A" w:rsidRDefault="00BF7F8A" w:rsidP="00BF7F8A">
            <w:pPr>
              <w:pStyle w:val="ListParagraph"/>
            </w:pPr>
            <w:r w:rsidRPr="0024072A">
              <w:rPr>
                <w:b/>
              </w:rPr>
              <w:t>identité :</w:t>
            </w:r>
            <w:r w:rsidRPr="0024072A">
              <w:t xml:space="preserve"> L’identité est façonnée par divers facteurs, par exemple les traditions, les protocoles, les célébrations et les fêtes.</w:t>
            </w:r>
          </w:p>
          <w:p w14:paraId="4605EE69" w14:textId="707AF77B" w:rsidR="00BF7F8A" w:rsidRPr="0024072A" w:rsidRDefault="00BF7F8A" w:rsidP="00BF7F8A">
            <w:pPr>
              <w:pStyle w:val="ListParagraph"/>
            </w:pPr>
            <w:r w:rsidRPr="0024072A">
              <w:rPr>
                <w:b/>
              </w:rPr>
              <w:t>lieu :</w:t>
            </w:r>
            <w:r w:rsidRPr="0024072A">
              <w:t xml:space="preserve"> </w:t>
            </w:r>
            <w:r w:rsidRPr="0024072A">
              <w:rPr>
                <w:iCs/>
              </w:rPr>
              <w:t xml:space="preserve">Un lieu est un environnement, une localité ou un contexte avec lequel les personnes interagissent pour apprendre, se créer une mémoire collective, réfléchir sur l'histoire, s'initier à une culture et établir une identité. Le lien entre les gens et le lieu est fondamental dans les perspectives </w:t>
            </w:r>
            <w:r>
              <w:rPr>
                <w:iCs/>
              </w:rPr>
              <w:br/>
            </w:r>
            <w:r w:rsidRPr="0024072A">
              <w:rPr>
                <w:iCs/>
              </w:rPr>
              <w:t xml:space="preserve">des peuples autochtones sur le monde. Divers éléments peuvent contribuer à développer un sentiment d'appartenance au lieu, comme le territoire, </w:t>
            </w:r>
            <w:r>
              <w:rPr>
                <w:iCs/>
              </w:rPr>
              <w:br/>
            </w:r>
            <w:r w:rsidRPr="0024072A">
              <w:rPr>
                <w:iCs/>
              </w:rPr>
              <w:t>la nourriture, les vêtements et les œuvres de création.</w:t>
            </w:r>
          </w:p>
          <w:p w14:paraId="6C97FAF9" w14:textId="77777777" w:rsidR="00BF7F8A" w:rsidRPr="0024072A" w:rsidRDefault="00BF7F8A" w:rsidP="00BF7F8A">
            <w:pPr>
              <w:pStyle w:val="ListParagraph"/>
            </w:pPr>
            <w:r w:rsidRPr="0024072A">
              <w:rPr>
                <w:b/>
              </w:rPr>
              <w:t>Éléments communs dans les histoires :</w:t>
            </w:r>
            <w:r w:rsidRPr="0024072A">
              <w:t xml:space="preserve"> p. ex. lieu, personnages, cadre général, intrigue, problème, résolution</w:t>
            </w:r>
          </w:p>
          <w:p w14:paraId="1D841194" w14:textId="77777777" w:rsidR="00BF7F8A" w:rsidRPr="0024072A" w:rsidRDefault="00BF7F8A" w:rsidP="00BF7F8A">
            <w:pPr>
              <w:pStyle w:val="ListParagraph"/>
            </w:pPr>
            <w:r w:rsidRPr="0024072A">
              <w:rPr>
                <w:b/>
              </w:rPr>
              <w:t>Aspects culturels :</w:t>
            </w:r>
            <w:r w:rsidRPr="0024072A">
              <w:t xml:space="preserve"> p. ex. activités, célébrations, vêtements, fêtes, nourriture, terre, musique, protocoles, traditions</w:t>
            </w:r>
          </w:p>
          <w:p w14:paraId="6EA31CA0" w14:textId="77777777" w:rsidR="00BF7F8A" w:rsidRPr="0024072A" w:rsidRDefault="00BF7F8A" w:rsidP="00BF7F8A">
            <w:pPr>
              <w:pStyle w:val="ListParagraph"/>
            </w:pPr>
            <w:r w:rsidRPr="0024072A">
              <w:rPr>
                <w:b/>
                <w:bCs/>
              </w:rPr>
              <w:t>Œuvres d</w:t>
            </w:r>
            <w:r w:rsidRPr="0024072A">
              <w:rPr>
                <w:b/>
              </w:rPr>
              <w:t>’art</w:t>
            </w:r>
            <w:r w:rsidRPr="0024072A">
              <w:rPr>
                <w:b/>
                <w:bCs/>
              </w:rPr>
              <w:t> :</w:t>
            </w:r>
            <w:r w:rsidRPr="0024072A">
              <w:rPr>
                <w:bCs/>
              </w:rPr>
              <w:t xml:space="preserve"> </w:t>
            </w:r>
            <w:r w:rsidRPr="0024072A">
              <w:t>p. ex. des œuvres de création dans les domaines de la danse, de la représentation dramatique, de la musique ou des arts visuels</w:t>
            </w:r>
          </w:p>
          <w:p w14:paraId="4C948E40" w14:textId="026FF43B" w:rsidR="000A311F" w:rsidRPr="005A1FA5" w:rsidRDefault="00BF7F8A" w:rsidP="00BF7F8A">
            <w:pPr>
              <w:pStyle w:val="ListParagraph"/>
              <w:spacing w:after="120"/>
            </w:pPr>
            <w:r w:rsidRPr="0024072A">
              <w:rPr>
                <w:b/>
                <w:bCs/>
              </w:rPr>
              <w:t>appropriation culturelle :</w:t>
            </w:r>
            <w:r w:rsidRPr="0024072A">
              <w:t xml:space="preserve"> utilisation d’un motif culturel, d’un thème, d’une « voix », d’une image, d’une connaissance, d’une histoire, </w:t>
            </w:r>
            <w:r>
              <w:br/>
            </w:r>
            <w:r w:rsidRPr="0024072A">
              <w:t xml:space="preserve">d’une chanson ou d’une représentation dramatique, sans autorisation ou sans contexte approprié ou d’une manière qui peut dénaturer </w:t>
            </w:r>
            <w:r>
              <w:br/>
            </w:r>
            <w:r w:rsidRPr="0024072A">
              <w:t xml:space="preserve">l’expérience réelle des personnes de cette culture </w:t>
            </w:r>
          </w:p>
        </w:tc>
      </w:tr>
    </w:tbl>
    <w:p w14:paraId="08CF9400" w14:textId="4DC07D68" w:rsidR="00861BC6" w:rsidRPr="005A1FA5" w:rsidRDefault="00861BC6" w:rsidP="00153CA4"/>
    <w:p w14:paraId="6C97D3F9" w14:textId="3ADB6EE7" w:rsidR="00861BC6" w:rsidRPr="005A1FA5" w:rsidRDefault="00861BC6"/>
    <w:p w14:paraId="1A3F3E81" w14:textId="6C25176D" w:rsidR="00861BC6" w:rsidRPr="005A1FA5" w:rsidRDefault="00861BC6"/>
    <w:sectPr w:rsidR="00861BC6" w:rsidRPr="005A1FA5" w:rsidSect="001A27C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8D06A1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7D1744"/>
    <w:multiLevelType w:val="hybridMultilevel"/>
    <w:tmpl w:val="37D69F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8306A"/>
    <w:multiLevelType w:val="hybridMultilevel"/>
    <w:tmpl w:val="7CB4ACD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7A34AD1A"/>
    <w:lvl w:ilvl="0" w:tplc="5A9CAD6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66FC6"/>
    <w:multiLevelType w:val="hybridMultilevel"/>
    <w:tmpl w:val="6EAE7D0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E121973"/>
    <w:multiLevelType w:val="hybridMultilevel"/>
    <w:tmpl w:val="32BEE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3B1AD1"/>
    <w:multiLevelType w:val="hybridMultilevel"/>
    <w:tmpl w:val="F836C1C2"/>
    <w:lvl w:ilvl="0" w:tplc="8098C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1">
    <w:nsid w:val="7267275F"/>
    <w:multiLevelType w:val="hybridMultilevel"/>
    <w:tmpl w:val="24EE3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1D3DC3"/>
    <w:multiLevelType w:val="multilevel"/>
    <w:tmpl w:val="70E680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35A4F"/>
    <w:rsid w:val="00062BE9"/>
    <w:rsid w:val="00064921"/>
    <w:rsid w:val="00065AC2"/>
    <w:rsid w:val="00070C03"/>
    <w:rsid w:val="00073435"/>
    <w:rsid w:val="00075A01"/>
    <w:rsid w:val="00075F95"/>
    <w:rsid w:val="000858D2"/>
    <w:rsid w:val="00085DDC"/>
    <w:rsid w:val="000A311F"/>
    <w:rsid w:val="000A3FAA"/>
    <w:rsid w:val="000B2381"/>
    <w:rsid w:val="000B468E"/>
    <w:rsid w:val="000C4B9D"/>
    <w:rsid w:val="000C6A21"/>
    <w:rsid w:val="000E555C"/>
    <w:rsid w:val="000F0916"/>
    <w:rsid w:val="001050EE"/>
    <w:rsid w:val="00123905"/>
    <w:rsid w:val="001335A2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91B6D"/>
    <w:rsid w:val="001A1BDC"/>
    <w:rsid w:val="001A27CA"/>
    <w:rsid w:val="001B1558"/>
    <w:rsid w:val="001B1DBF"/>
    <w:rsid w:val="001B28CB"/>
    <w:rsid w:val="001B2DC1"/>
    <w:rsid w:val="001C1677"/>
    <w:rsid w:val="001C3F91"/>
    <w:rsid w:val="001D19C4"/>
    <w:rsid w:val="001D4E97"/>
    <w:rsid w:val="001E0405"/>
    <w:rsid w:val="001E063D"/>
    <w:rsid w:val="001E4109"/>
    <w:rsid w:val="001E4AC6"/>
    <w:rsid w:val="001E7EC9"/>
    <w:rsid w:val="001F2C2F"/>
    <w:rsid w:val="00207ABD"/>
    <w:rsid w:val="00220DED"/>
    <w:rsid w:val="002215C5"/>
    <w:rsid w:val="00222A67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B98"/>
    <w:rsid w:val="00287CDA"/>
    <w:rsid w:val="00291630"/>
    <w:rsid w:val="002967B0"/>
    <w:rsid w:val="002A53A6"/>
    <w:rsid w:val="002C42CD"/>
    <w:rsid w:val="002D3076"/>
    <w:rsid w:val="002E3C1B"/>
    <w:rsid w:val="002E545E"/>
    <w:rsid w:val="002E55AA"/>
    <w:rsid w:val="002F3A0E"/>
    <w:rsid w:val="0031444E"/>
    <w:rsid w:val="00315439"/>
    <w:rsid w:val="003157C0"/>
    <w:rsid w:val="00325792"/>
    <w:rsid w:val="003448A3"/>
    <w:rsid w:val="00362A29"/>
    <w:rsid w:val="00364762"/>
    <w:rsid w:val="00391687"/>
    <w:rsid w:val="003925B2"/>
    <w:rsid w:val="00396635"/>
    <w:rsid w:val="003A3345"/>
    <w:rsid w:val="003A4998"/>
    <w:rsid w:val="003B3177"/>
    <w:rsid w:val="003D12ED"/>
    <w:rsid w:val="003D6715"/>
    <w:rsid w:val="003D799D"/>
    <w:rsid w:val="003E3E64"/>
    <w:rsid w:val="003F11D9"/>
    <w:rsid w:val="003F1DB7"/>
    <w:rsid w:val="003F6E58"/>
    <w:rsid w:val="00400F30"/>
    <w:rsid w:val="00413BC2"/>
    <w:rsid w:val="004166FE"/>
    <w:rsid w:val="00416E56"/>
    <w:rsid w:val="00431560"/>
    <w:rsid w:val="00442C9B"/>
    <w:rsid w:val="004444AF"/>
    <w:rsid w:val="00447D8B"/>
    <w:rsid w:val="00456660"/>
    <w:rsid w:val="00456D83"/>
    <w:rsid w:val="00457103"/>
    <w:rsid w:val="00460EB3"/>
    <w:rsid w:val="00481839"/>
    <w:rsid w:val="00482426"/>
    <w:rsid w:val="00483E58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F2F73"/>
    <w:rsid w:val="004F5E30"/>
    <w:rsid w:val="004F7F89"/>
    <w:rsid w:val="005028A4"/>
    <w:rsid w:val="00515F86"/>
    <w:rsid w:val="005318CB"/>
    <w:rsid w:val="0053784B"/>
    <w:rsid w:val="00545D3E"/>
    <w:rsid w:val="00546F47"/>
    <w:rsid w:val="00550AD5"/>
    <w:rsid w:val="00551BD6"/>
    <w:rsid w:val="00555BC8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2B45"/>
    <w:rsid w:val="005E0FCC"/>
    <w:rsid w:val="005E3176"/>
    <w:rsid w:val="005F4985"/>
    <w:rsid w:val="00602FE1"/>
    <w:rsid w:val="00607C26"/>
    <w:rsid w:val="00620D38"/>
    <w:rsid w:val="006211F9"/>
    <w:rsid w:val="00630508"/>
    <w:rsid w:val="006336A5"/>
    <w:rsid w:val="00635122"/>
    <w:rsid w:val="0065155B"/>
    <w:rsid w:val="0065155F"/>
    <w:rsid w:val="0065190D"/>
    <w:rsid w:val="0065415C"/>
    <w:rsid w:val="00670E49"/>
    <w:rsid w:val="00677D48"/>
    <w:rsid w:val="00682364"/>
    <w:rsid w:val="00685BC9"/>
    <w:rsid w:val="00685F56"/>
    <w:rsid w:val="0068614A"/>
    <w:rsid w:val="006975F6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516B"/>
    <w:rsid w:val="0072171C"/>
    <w:rsid w:val="00735FF4"/>
    <w:rsid w:val="00737D76"/>
    <w:rsid w:val="00741E53"/>
    <w:rsid w:val="00744DE9"/>
    <w:rsid w:val="00745E57"/>
    <w:rsid w:val="007460EC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EC7"/>
    <w:rsid w:val="008052B3"/>
    <w:rsid w:val="00821DEC"/>
    <w:rsid w:val="00827BD4"/>
    <w:rsid w:val="00837AFB"/>
    <w:rsid w:val="00844B36"/>
    <w:rsid w:val="00846D64"/>
    <w:rsid w:val="008543C7"/>
    <w:rsid w:val="00860788"/>
    <w:rsid w:val="00861BC6"/>
    <w:rsid w:val="00867273"/>
    <w:rsid w:val="00867B5D"/>
    <w:rsid w:val="008770BE"/>
    <w:rsid w:val="00881462"/>
    <w:rsid w:val="00882370"/>
    <w:rsid w:val="00884A1A"/>
    <w:rsid w:val="00886594"/>
    <w:rsid w:val="00887A0E"/>
    <w:rsid w:val="00895B83"/>
    <w:rsid w:val="008971BF"/>
    <w:rsid w:val="008B2D23"/>
    <w:rsid w:val="008B6727"/>
    <w:rsid w:val="008C0693"/>
    <w:rsid w:val="008C5149"/>
    <w:rsid w:val="008D011B"/>
    <w:rsid w:val="008D0672"/>
    <w:rsid w:val="008D06A1"/>
    <w:rsid w:val="008D5D46"/>
    <w:rsid w:val="008E3502"/>
    <w:rsid w:val="008E3AD7"/>
    <w:rsid w:val="008F4775"/>
    <w:rsid w:val="00900F27"/>
    <w:rsid w:val="00902C1A"/>
    <w:rsid w:val="00910B79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A2CC0"/>
    <w:rsid w:val="009A75A2"/>
    <w:rsid w:val="009B0A15"/>
    <w:rsid w:val="009B3A62"/>
    <w:rsid w:val="009D474F"/>
    <w:rsid w:val="009E4B98"/>
    <w:rsid w:val="009E513D"/>
    <w:rsid w:val="009E6E14"/>
    <w:rsid w:val="009F03E5"/>
    <w:rsid w:val="009F0C69"/>
    <w:rsid w:val="009F4B7F"/>
    <w:rsid w:val="00A062EC"/>
    <w:rsid w:val="00A13FD8"/>
    <w:rsid w:val="00A230A6"/>
    <w:rsid w:val="00A2482D"/>
    <w:rsid w:val="00A26CE6"/>
    <w:rsid w:val="00A313B0"/>
    <w:rsid w:val="00A34E20"/>
    <w:rsid w:val="00A362C8"/>
    <w:rsid w:val="00A36E61"/>
    <w:rsid w:val="00A36FBD"/>
    <w:rsid w:val="00A447FD"/>
    <w:rsid w:val="00A45B8B"/>
    <w:rsid w:val="00A47A92"/>
    <w:rsid w:val="00A52675"/>
    <w:rsid w:val="00A53362"/>
    <w:rsid w:val="00A608D1"/>
    <w:rsid w:val="00A620C3"/>
    <w:rsid w:val="00A645AF"/>
    <w:rsid w:val="00A6463A"/>
    <w:rsid w:val="00A76547"/>
    <w:rsid w:val="00A76AC7"/>
    <w:rsid w:val="00A847B9"/>
    <w:rsid w:val="00A87F23"/>
    <w:rsid w:val="00A9052F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DAD"/>
    <w:rsid w:val="00B206D3"/>
    <w:rsid w:val="00B43E27"/>
    <w:rsid w:val="00B465B1"/>
    <w:rsid w:val="00B50005"/>
    <w:rsid w:val="00B530F3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38FB"/>
    <w:rsid w:val="00BC48B1"/>
    <w:rsid w:val="00BC4A81"/>
    <w:rsid w:val="00BD6B7D"/>
    <w:rsid w:val="00BD7881"/>
    <w:rsid w:val="00BE4F1E"/>
    <w:rsid w:val="00BE6F65"/>
    <w:rsid w:val="00BF03A8"/>
    <w:rsid w:val="00BF30C0"/>
    <w:rsid w:val="00BF4079"/>
    <w:rsid w:val="00BF7F8A"/>
    <w:rsid w:val="00C03819"/>
    <w:rsid w:val="00C05FD5"/>
    <w:rsid w:val="00C130E4"/>
    <w:rsid w:val="00C138F1"/>
    <w:rsid w:val="00C21F16"/>
    <w:rsid w:val="00C23D53"/>
    <w:rsid w:val="00C248B8"/>
    <w:rsid w:val="00C25DFB"/>
    <w:rsid w:val="00C3058C"/>
    <w:rsid w:val="00C36E10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3D39"/>
    <w:rsid w:val="00CB482D"/>
    <w:rsid w:val="00CC02E1"/>
    <w:rsid w:val="00CC6B51"/>
    <w:rsid w:val="00CD11AA"/>
    <w:rsid w:val="00CD6B0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41F6E"/>
    <w:rsid w:val="00D42250"/>
    <w:rsid w:val="00D56902"/>
    <w:rsid w:val="00D57D13"/>
    <w:rsid w:val="00D637A6"/>
    <w:rsid w:val="00D64299"/>
    <w:rsid w:val="00D70E2A"/>
    <w:rsid w:val="00D735D9"/>
    <w:rsid w:val="00D772C9"/>
    <w:rsid w:val="00D8654A"/>
    <w:rsid w:val="00D916EC"/>
    <w:rsid w:val="00D96986"/>
    <w:rsid w:val="00DA1BF8"/>
    <w:rsid w:val="00DA79C0"/>
    <w:rsid w:val="00DB0FF2"/>
    <w:rsid w:val="00DC1DA5"/>
    <w:rsid w:val="00DC2C4B"/>
    <w:rsid w:val="00DD1C77"/>
    <w:rsid w:val="00DD3442"/>
    <w:rsid w:val="00DD62DB"/>
    <w:rsid w:val="00DE3EB2"/>
    <w:rsid w:val="00DE4A69"/>
    <w:rsid w:val="00DF04D1"/>
    <w:rsid w:val="00DF28BE"/>
    <w:rsid w:val="00DF3B95"/>
    <w:rsid w:val="00E10052"/>
    <w:rsid w:val="00E11BAF"/>
    <w:rsid w:val="00E12D44"/>
    <w:rsid w:val="00E13917"/>
    <w:rsid w:val="00E13BB1"/>
    <w:rsid w:val="00E16234"/>
    <w:rsid w:val="00E21AC0"/>
    <w:rsid w:val="00E2444A"/>
    <w:rsid w:val="00E271F0"/>
    <w:rsid w:val="00E42427"/>
    <w:rsid w:val="00E55EF1"/>
    <w:rsid w:val="00E62834"/>
    <w:rsid w:val="00E70E30"/>
    <w:rsid w:val="00E7402D"/>
    <w:rsid w:val="00E76162"/>
    <w:rsid w:val="00E80591"/>
    <w:rsid w:val="00E834AB"/>
    <w:rsid w:val="00E842D8"/>
    <w:rsid w:val="00E96F8F"/>
    <w:rsid w:val="00E970C8"/>
    <w:rsid w:val="00EA2024"/>
    <w:rsid w:val="00EA464E"/>
    <w:rsid w:val="00EA565D"/>
    <w:rsid w:val="00EB2698"/>
    <w:rsid w:val="00EB6F98"/>
    <w:rsid w:val="00EC2BAD"/>
    <w:rsid w:val="00EC51DF"/>
    <w:rsid w:val="00EC5CBA"/>
    <w:rsid w:val="00ED1AB0"/>
    <w:rsid w:val="00ED6CC1"/>
    <w:rsid w:val="00EF2B92"/>
    <w:rsid w:val="00F015BE"/>
    <w:rsid w:val="00F01998"/>
    <w:rsid w:val="00F03477"/>
    <w:rsid w:val="00F06652"/>
    <w:rsid w:val="00F12B79"/>
    <w:rsid w:val="00F13207"/>
    <w:rsid w:val="00F14960"/>
    <w:rsid w:val="00F218FE"/>
    <w:rsid w:val="00F41210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D3827"/>
    <w:rsid w:val="00FE1345"/>
    <w:rsid w:val="00FE28EC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6975F6"/>
    <w:pPr>
      <w:spacing w:after="4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CB3D39"/>
    <w:rPr>
      <w:sz w:val="24"/>
      <w:szCs w:val="24"/>
      <w:lang w:val="fr-CA"/>
    </w:rPr>
  </w:style>
  <w:style w:type="paragraph" w:styleId="NoSpacing">
    <w:name w:val="No Spacing"/>
    <w:qFormat/>
    <w:rsid w:val="00CB3D39"/>
    <w:rPr>
      <w:rFonts w:ascii="Calibri" w:hAnsi="Calibri"/>
      <w:sz w:val="24"/>
      <w:lang w:val="fr-CA" w:eastAsia="ja-JP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3350-A068-F449-8F7F-F76C5BA3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1489</Words>
  <Characters>8560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10029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52</cp:revision>
  <cp:lastPrinted>2018-06-08T17:23:00Z</cp:lastPrinted>
  <dcterms:created xsi:type="dcterms:W3CDTF">2018-06-08T17:24:00Z</dcterms:created>
  <dcterms:modified xsi:type="dcterms:W3CDTF">2018-06-14T00:36:00Z</dcterms:modified>
</cp:coreProperties>
</file>